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F4" w:rsidRPr="00F227F4" w:rsidRDefault="00F227F4" w:rsidP="00F227F4">
      <w:pPr>
        <w:pStyle w:val="Default"/>
        <w:jc w:val="center"/>
        <w:rPr>
          <w:rFonts w:ascii="Trebuchet MS" w:eastAsia="Verdana" w:hAnsi="Trebuchet MS" w:cs="Verdana"/>
          <w:bCs/>
          <w:szCs w:val="22"/>
          <w:lang w:val="fr-FR"/>
        </w:rPr>
      </w:pPr>
      <w:r w:rsidRPr="00F227F4">
        <w:rPr>
          <w:rFonts w:ascii="Trebuchet MS" w:eastAsia="Verdana" w:hAnsi="Trebuchet MS" w:cs="Verdana"/>
          <w:bCs/>
          <w:szCs w:val="22"/>
          <w:lang w:val="fr-FR"/>
        </w:rPr>
        <w:t>Annexes à l’accord global de coopération entre</w:t>
      </w:r>
    </w:p>
    <w:p w:rsidR="005521D4" w:rsidRPr="00F227F4" w:rsidRDefault="00F227F4" w:rsidP="00F227F4">
      <w:pPr>
        <w:pStyle w:val="Default"/>
        <w:jc w:val="center"/>
        <w:rPr>
          <w:rFonts w:ascii="Trebuchet MS" w:eastAsia="Verdana" w:hAnsi="Trebuchet MS" w:cs="Verdana"/>
          <w:bCs/>
          <w:szCs w:val="22"/>
          <w:lang w:val="fr-FR"/>
        </w:rPr>
      </w:pPr>
      <w:r w:rsidRPr="00F227F4">
        <w:rPr>
          <w:rFonts w:ascii="Trebuchet MS" w:eastAsia="Verdana" w:hAnsi="Trebuchet MS" w:cs="Verdana"/>
          <w:bCs/>
          <w:szCs w:val="22"/>
          <w:lang w:val="fr-FR"/>
        </w:rPr>
        <w:t>L’Université Lille 1 – France et</w:t>
      </w:r>
      <w:r>
        <w:rPr>
          <w:rFonts w:ascii="Trebuchet MS" w:eastAsia="Verdana" w:hAnsi="Trebuchet MS" w:cs="Verdana"/>
          <w:bCs/>
          <w:szCs w:val="22"/>
          <w:lang w:val="fr-FR"/>
        </w:rPr>
        <w:t xml:space="preserve"> </w:t>
      </w:r>
      <w:r w:rsidRPr="00F227F4">
        <w:rPr>
          <w:rFonts w:ascii="Trebuchet MS" w:eastAsia="Verdana" w:hAnsi="Trebuchet MS" w:cs="Verdana"/>
          <w:bCs/>
          <w:szCs w:val="22"/>
          <w:lang w:val="fr-FR"/>
        </w:rPr>
        <w:t xml:space="preserve">L’Ecole Supérieure Polytechnique (ESP) de l’Université Cheikh </w:t>
      </w:r>
      <w:proofErr w:type="spellStart"/>
      <w:r w:rsidRPr="00F227F4">
        <w:rPr>
          <w:rFonts w:ascii="Trebuchet MS" w:eastAsia="Verdana" w:hAnsi="Trebuchet MS" w:cs="Verdana"/>
          <w:bCs/>
          <w:szCs w:val="22"/>
          <w:lang w:val="fr-FR"/>
        </w:rPr>
        <w:t>Anta</w:t>
      </w:r>
      <w:proofErr w:type="spellEnd"/>
      <w:r w:rsidRPr="00F227F4">
        <w:rPr>
          <w:rFonts w:ascii="Trebuchet MS" w:eastAsia="Verdana" w:hAnsi="Trebuchet MS" w:cs="Verdana"/>
          <w:bCs/>
          <w:szCs w:val="22"/>
          <w:lang w:val="fr-FR"/>
        </w:rPr>
        <w:t xml:space="preserve"> </w:t>
      </w:r>
      <w:proofErr w:type="spellStart"/>
      <w:r w:rsidRPr="00F227F4">
        <w:rPr>
          <w:rFonts w:ascii="Trebuchet MS" w:eastAsia="Verdana" w:hAnsi="Trebuchet MS" w:cs="Verdana"/>
          <w:bCs/>
          <w:szCs w:val="22"/>
          <w:lang w:val="fr-FR"/>
        </w:rPr>
        <w:t>Diop</w:t>
      </w:r>
      <w:proofErr w:type="spellEnd"/>
      <w:r w:rsidRPr="00F227F4">
        <w:rPr>
          <w:rFonts w:ascii="Trebuchet MS" w:eastAsia="Verdana" w:hAnsi="Trebuchet MS" w:cs="Verdana"/>
          <w:bCs/>
          <w:szCs w:val="22"/>
          <w:lang w:val="fr-FR"/>
        </w:rPr>
        <w:t xml:space="preserve"> de Dakar (UCAD)</w:t>
      </w:r>
      <w:r>
        <w:rPr>
          <w:rFonts w:ascii="Trebuchet MS" w:eastAsia="Verdana" w:hAnsi="Trebuchet MS" w:cs="Verdana"/>
          <w:bCs/>
          <w:szCs w:val="22"/>
          <w:lang w:val="fr-FR"/>
        </w:rPr>
        <w:t xml:space="preserve"> - Sénégal</w:t>
      </w:r>
    </w:p>
    <w:p w:rsidR="00F227F4" w:rsidRPr="00F227F4" w:rsidRDefault="00F227F4" w:rsidP="00F227F4">
      <w:pPr>
        <w:rPr>
          <w:rFonts w:asciiTheme="minorHAnsi" w:eastAsia="Verdana" w:hAnsiTheme="minorHAnsi" w:cs="Verdana"/>
          <w:bCs/>
          <w:sz w:val="22"/>
          <w:szCs w:val="22"/>
          <w:lang w:val="fr-FR"/>
        </w:rPr>
      </w:pPr>
    </w:p>
    <w:p w:rsidR="00F227F4" w:rsidRPr="00F227F4" w:rsidRDefault="00F227F4" w:rsidP="00F227F4">
      <w:pPr>
        <w:pStyle w:val="Default"/>
        <w:jc w:val="center"/>
        <w:rPr>
          <w:rFonts w:asciiTheme="minorHAnsi" w:eastAsia="Verdana" w:hAnsiTheme="minorHAnsi" w:cs="Verdana"/>
          <w:i/>
          <w:sz w:val="22"/>
          <w:szCs w:val="22"/>
          <w:lang w:val="fr-FR"/>
        </w:rPr>
      </w:pPr>
      <w:r w:rsidRPr="00F227F4">
        <w:rPr>
          <w:rFonts w:asciiTheme="minorHAnsi" w:eastAsia="Verdana" w:hAnsiTheme="minorHAnsi" w:cs="Verdana"/>
          <w:i/>
          <w:sz w:val="22"/>
          <w:szCs w:val="22"/>
          <w:lang w:val="fr-FR"/>
        </w:rPr>
        <w:t>Pour la période : septembre 2015 – août 2018</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 présent texte concerne les formations suivantes :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numPr>
          <w:ilvl w:val="0"/>
          <w:numId w:val="2"/>
        </w:numPr>
        <w:spacing w:after="21"/>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Coté sénégalais : la mention de master « Sciences et Techniques de Gestion » et plus précisément l’option « Management des Affaires Internationales » de la spécialité « Marketing et Management des Affaires Internationales ». </w:t>
      </w:r>
    </w:p>
    <w:p w:rsidR="00F227F4" w:rsidRPr="00F227F4" w:rsidRDefault="00F227F4" w:rsidP="00F227F4">
      <w:pPr>
        <w:pStyle w:val="Default"/>
        <w:numPr>
          <w:ilvl w:val="0"/>
          <w:numId w:val="2"/>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Coté lillois : la spécialité « GEB-GLOBAL E BUSINESS » de la mention de Master « Economie et Management Internationaux » (mention « Management et Commerce Internationaux » à compter de septembre 2015).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Préambule </w:t>
      </w: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L’accord général de coopération établi entre les deux institutions sur la période 2009-2014 (étendue à la période 2014-2015) pour le master CMAI s’achève sur un bilan du diplôme délocalisé présenté par les responsables de formation en février 2014. Ce bilan fait état de bons résultats tant en termes d’effectifs étudiants formés, de rayonnement acquis par la formation en Afrique francophone, que d’établissement de relations durables entre les deux équipes pédagogiques. Ces relations ce sont traduites par l’émergence de projets autour du diplôme délocalisé, tels que des coopérations de recherche, des innovations pédagogiques partagées, des expériences d’aide à l’insertion professionnelle.</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Ce bilan conduit les responsables pédagogiques à envisager un nouvel accord de coopération qui répondrait aux objectifs suivants selon une échéance de trois ans (2015-2018):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1"/>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Equilibrer la coopération en organisant notamment, durant les trois années de la présente convention, des flux d’étudiants de l’Université Lille 1 vers l’ESP-UCAD afin d’offrir à ces derniers des expériences professionnelles originales. Au terme des trois années, l’objectif est le passage du diplôme délocalisé actuel (Master CMAI Dakar) à un double diplôme ESP-Lille 1, assurant la réciprocité dans la délivrance d’un double parchemin et permettant le développement de la mobilité étudiante (entrante comme sortante). </w:t>
      </w:r>
    </w:p>
    <w:p w:rsidR="00F227F4" w:rsidRPr="00F227F4" w:rsidRDefault="00F227F4" w:rsidP="00F227F4">
      <w:pPr>
        <w:pStyle w:val="Default"/>
        <w:spacing w:after="18"/>
        <w:ind w:left="720"/>
        <w:jc w:val="both"/>
        <w:rPr>
          <w:rFonts w:asciiTheme="minorHAnsi" w:eastAsia="Verdana" w:hAnsiTheme="minorHAnsi" w:cs="Verdana"/>
          <w:sz w:val="22"/>
          <w:szCs w:val="22"/>
          <w:lang w:val="fr-FR"/>
        </w:rPr>
      </w:pPr>
    </w:p>
    <w:p w:rsidR="00F227F4" w:rsidRPr="00F227F4" w:rsidRDefault="00F227F4" w:rsidP="00F227F4">
      <w:pPr>
        <w:pStyle w:val="Default"/>
        <w:numPr>
          <w:ilvl w:val="0"/>
          <w:numId w:val="1"/>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Renforcer les coopérations initiées autour des activités de recherche et d’échanges pédagogiques engagées lors de la première période, afin de capitaliser sur les plans pédagogique et scientifique.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hAnsiTheme="minorHAnsi"/>
          <w:sz w:val="22"/>
          <w:szCs w:val="22"/>
          <w:lang w:val="fr-FR"/>
        </w:rPr>
      </w:pPr>
      <w:r w:rsidRPr="00F227F4">
        <w:rPr>
          <w:rFonts w:asciiTheme="minorHAnsi" w:eastAsia="Verdana" w:hAnsiTheme="minorHAnsi" w:cs="Verdana"/>
          <w:sz w:val="22"/>
          <w:szCs w:val="22"/>
          <w:lang w:val="fr-FR"/>
        </w:rPr>
        <w:t xml:space="preserve">Du point de vue de l’ESP, cette nouvelle convention vise à consolider les acquis en termes de capacités de recherche et d’encadrement pédagogique afin de parvenir à terme à une autonomie du Master de l’ESP. Du côté de Lille 1, cette convention contribuerait au rayonnement international de l’Université de Lille dans une région du monde à très fort potentiel de développement, permettrait des coopérations avec les enseignants chercheurs de l’ESP et constituerait une opportunité unique pour les étudiants de se confronter à des terrains d’études et de stages en Afrique. </w:t>
      </w:r>
    </w:p>
    <w:p w:rsidR="00F227F4" w:rsidRPr="00F227F4" w:rsidRDefault="00F227F4" w:rsidP="00F227F4">
      <w:pPr>
        <w:pStyle w:val="Default"/>
        <w:rPr>
          <w:rFonts w:asciiTheme="minorHAnsi" w:hAnsiTheme="minorHAnsi"/>
          <w:sz w:val="22"/>
          <w:szCs w:val="22"/>
          <w:lang w:val="fr-FR"/>
        </w:rPr>
      </w:pPr>
    </w:p>
    <w:p w:rsidR="00F227F4" w:rsidRPr="00F227F4" w:rsidRDefault="00F227F4" w:rsidP="0016015B">
      <w:pPr>
        <w:pStyle w:val="Default"/>
        <w:pageBreakBefore/>
        <w:jc w:val="center"/>
        <w:rPr>
          <w:rFonts w:asciiTheme="minorHAnsi" w:eastAsia="Verdana" w:hAnsiTheme="minorHAnsi" w:cs="Verdana"/>
          <w:b/>
          <w:bCs/>
          <w:sz w:val="22"/>
          <w:szCs w:val="22"/>
          <w:lang w:val="fr-FR"/>
        </w:rPr>
      </w:pPr>
      <w:r w:rsidRPr="00F227F4">
        <w:rPr>
          <w:rFonts w:asciiTheme="minorHAnsi" w:eastAsia="Verdana" w:hAnsiTheme="minorHAnsi" w:cs="Verdana"/>
          <w:b/>
          <w:bCs/>
          <w:sz w:val="22"/>
          <w:szCs w:val="22"/>
          <w:lang w:val="fr-FR"/>
        </w:rPr>
        <w:lastRenderedPageBreak/>
        <w:t>Annexe 1</w:t>
      </w:r>
    </w:p>
    <w:p w:rsidR="00F227F4" w:rsidRPr="00F227F4" w:rsidRDefault="00F227F4" w:rsidP="00F227F4">
      <w:pPr>
        <w:pStyle w:val="Default"/>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Réglant l’organisation d’une attribution conjointe, à compter de l’année académique 2015-2016, du master GEB aux étudiants de l’ESP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Cette annexe établit un programme d’enseignement redéfini en tenant compte des évolutions des besoins dans le domaine du commerce et du management international et des nouvelles technologies, ainsi que des nouvelles maquettes des formations internationales de la Faculté des Sciences économiques et sociales de Lille 1. </w:t>
      </w:r>
    </w:p>
    <w:p w:rsidR="00F227F4" w:rsidRPr="00F227F4" w:rsidRDefault="00F227F4" w:rsidP="00F227F4">
      <w:pPr>
        <w:pStyle w:val="Default"/>
        <w:rPr>
          <w:rFonts w:asciiTheme="minorHAnsi" w:eastAsia="Verdana" w:hAnsiTheme="minorHAnsi" w:cs="Verdana"/>
          <w:sz w:val="22"/>
          <w:szCs w:val="22"/>
          <w:lang w:val="fr-FR"/>
        </w:rPr>
      </w:pPr>
    </w:p>
    <w:p w:rsidR="00F227F4" w:rsidRDefault="00F227F4" w:rsidP="00F227F4">
      <w:pPr>
        <w:pStyle w:val="Default"/>
        <w:rPr>
          <w:rFonts w:asciiTheme="minorHAnsi" w:eastAsia="Verdana" w:hAnsiTheme="minorHAnsi" w:cs="Verdana"/>
          <w:b/>
          <w:bCs/>
          <w:sz w:val="22"/>
          <w:szCs w:val="22"/>
          <w:lang w:val="fr-FR"/>
        </w:rPr>
      </w:pPr>
      <w:r w:rsidRPr="00F227F4">
        <w:rPr>
          <w:rFonts w:asciiTheme="minorHAnsi" w:eastAsia="Verdana" w:hAnsiTheme="minorHAnsi" w:cs="Verdana"/>
          <w:b/>
          <w:bCs/>
          <w:sz w:val="22"/>
          <w:szCs w:val="22"/>
          <w:lang w:val="fr-FR"/>
        </w:rPr>
        <w:t xml:space="preserve">Article 1 – définition d’un programme d’enseignement commun </w:t>
      </w:r>
    </w:p>
    <w:p w:rsidR="00AA2E08" w:rsidRPr="00F227F4" w:rsidRDefault="00AA2E08" w:rsidP="00F227F4">
      <w:pPr>
        <w:pStyle w:val="Default"/>
        <w:rPr>
          <w:rFonts w:asciiTheme="minorHAnsi" w:hAnsiTheme="minorHAnsi"/>
          <w:sz w:val="22"/>
          <w:szCs w:val="22"/>
          <w:lang w:val="fr-FR"/>
        </w:rPr>
      </w:pPr>
    </w:p>
    <w:tbl>
      <w:tblPr>
        <w:tblStyle w:val="Grilledutableau"/>
        <w:tblW w:w="0" w:type="auto"/>
        <w:tblLayout w:type="fixed"/>
        <w:tblLook w:val="04A0"/>
      </w:tblPr>
      <w:tblGrid>
        <w:gridCol w:w="817"/>
        <w:gridCol w:w="992"/>
        <w:gridCol w:w="1701"/>
        <w:gridCol w:w="3544"/>
        <w:gridCol w:w="1134"/>
        <w:gridCol w:w="992"/>
      </w:tblGrid>
      <w:tr w:rsidR="00AA2E08" w:rsidTr="0016015B">
        <w:tc>
          <w:tcPr>
            <w:tcW w:w="817" w:type="dxa"/>
            <w:shd w:val="clear" w:color="auto" w:fill="F2F2F2" w:themeFill="background1" w:themeFillShade="F2"/>
            <w:vAlign w:val="center"/>
          </w:tcPr>
          <w:p w:rsidR="00AA2E08" w:rsidRPr="00EA5A96" w:rsidRDefault="00AA2E08" w:rsidP="00AA2E08">
            <w:pPr>
              <w:jc w:val="center"/>
              <w:rPr>
                <w:rFonts w:asciiTheme="minorHAnsi" w:hAnsiTheme="minorHAnsi"/>
                <w:b/>
                <w:sz w:val="20"/>
                <w:lang w:val="fr-FR"/>
              </w:rPr>
            </w:pPr>
            <w:r w:rsidRPr="00EA5A96">
              <w:rPr>
                <w:rFonts w:asciiTheme="minorHAnsi" w:hAnsiTheme="minorHAnsi"/>
                <w:b/>
                <w:sz w:val="20"/>
                <w:lang w:val="fr-FR"/>
              </w:rPr>
              <w:t xml:space="preserve">Master </w:t>
            </w:r>
            <w:proofErr w:type="spellStart"/>
            <w:r w:rsidRPr="00EA5A96">
              <w:rPr>
                <w:rFonts w:asciiTheme="minorHAnsi" w:hAnsiTheme="minorHAnsi"/>
                <w:b/>
                <w:sz w:val="20"/>
                <w:lang w:val="fr-FR"/>
              </w:rPr>
              <w:t>Track</w:t>
            </w:r>
            <w:proofErr w:type="spellEnd"/>
          </w:p>
        </w:tc>
        <w:tc>
          <w:tcPr>
            <w:tcW w:w="992" w:type="dxa"/>
            <w:shd w:val="clear" w:color="auto" w:fill="F2F2F2" w:themeFill="background1" w:themeFillShade="F2"/>
            <w:vAlign w:val="center"/>
          </w:tcPr>
          <w:p w:rsidR="00AA2E08" w:rsidRPr="00EA5A96" w:rsidRDefault="00AA2E08" w:rsidP="00AA2E08">
            <w:pPr>
              <w:jc w:val="center"/>
              <w:rPr>
                <w:rFonts w:asciiTheme="minorHAnsi" w:hAnsiTheme="minorHAnsi"/>
                <w:b/>
                <w:sz w:val="20"/>
                <w:lang w:val="fr-FR"/>
              </w:rPr>
            </w:pPr>
            <w:proofErr w:type="spellStart"/>
            <w:r w:rsidRPr="00EA5A96">
              <w:rPr>
                <w:rFonts w:asciiTheme="minorHAnsi" w:hAnsiTheme="minorHAnsi"/>
                <w:b/>
                <w:sz w:val="20"/>
                <w:lang w:val="fr-FR"/>
              </w:rPr>
              <w:t>Semester</w:t>
            </w:r>
            <w:proofErr w:type="spellEnd"/>
          </w:p>
        </w:tc>
        <w:tc>
          <w:tcPr>
            <w:tcW w:w="1701" w:type="dxa"/>
            <w:shd w:val="clear" w:color="auto" w:fill="F2F2F2" w:themeFill="background1" w:themeFillShade="F2"/>
            <w:vAlign w:val="center"/>
          </w:tcPr>
          <w:p w:rsidR="00AA2E08" w:rsidRPr="00EA5A96" w:rsidRDefault="00AA2E08" w:rsidP="00AA2E08">
            <w:pPr>
              <w:jc w:val="center"/>
              <w:rPr>
                <w:rFonts w:asciiTheme="minorHAnsi" w:hAnsiTheme="minorHAnsi"/>
                <w:b/>
                <w:sz w:val="20"/>
                <w:lang w:val="fr-FR"/>
              </w:rPr>
            </w:pPr>
            <w:proofErr w:type="spellStart"/>
            <w:r w:rsidRPr="00EA5A96">
              <w:rPr>
                <w:rFonts w:asciiTheme="minorHAnsi" w:hAnsiTheme="minorHAnsi"/>
                <w:b/>
                <w:sz w:val="20"/>
                <w:lang w:val="fr-FR"/>
              </w:rPr>
              <w:t>Teaching</w:t>
            </w:r>
            <w:proofErr w:type="spellEnd"/>
            <w:r w:rsidRPr="00EA5A96">
              <w:rPr>
                <w:rFonts w:asciiTheme="minorHAnsi" w:hAnsiTheme="minorHAnsi"/>
                <w:b/>
                <w:sz w:val="20"/>
                <w:lang w:val="fr-FR"/>
              </w:rPr>
              <w:t xml:space="preserve"> Unit</w:t>
            </w:r>
          </w:p>
        </w:tc>
        <w:tc>
          <w:tcPr>
            <w:tcW w:w="3544" w:type="dxa"/>
            <w:shd w:val="clear" w:color="auto" w:fill="F2F2F2" w:themeFill="background1" w:themeFillShade="F2"/>
            <w:vAlign w:val="center"/>
          </w:tcPr>
          <w:p w:rsidR="00AA2E08" w:rsidRPr="00EA5A96" w:rsidRDefault="00AA2E08" w:rsidP="00AA2E08">
            <w:pPr>
              <w:jc w:val="center"/>
              <w:rPr>
                <w:rFonts w:asciiTheme="minorHAnsi" w:hAnsiTheme="minorHAnsi"/>
                <w:b/>
                <w:sz w:val="20"/>
                <w:lang w:val="fr-FR"/>
              </w:rPr>
            </w:pPr>
            <w:r w:rsidRPr="00EA5A96">
              <w:rPr>
                <w:rFonts w:asciiTheme="minorHAnsi" w:hAnsiTheme="minorHAnsi"/>
                <w:b/>
                <w:sz w:val="20"/>
                <w:lang w:val="fr-FR"/>
              </w:rPr>
              <w:t xml:space="preserve">Course </w:t>
            </w:r>
            <w:proofErr w:type="spellStart"/>
            <w:r w:rsidRPr="00EA5A96">
              <w:rPr>
                <w:rFonts w:asciiTheme="minorHAnsi" w:hAnsiTheme="minorHAnsi"/>
                <w:b/>
                <w:sz w:val="20"/>
                <w:lang w:val="fr-FR"/>
              </w:rPr>
              <w:t>Title</w:t>
            </w:r>
            <w:proofErr w:type="spellEnd"/>
          </w:p>
        </w:tc>
        <w:tc>
          <w:tcPr>
            <w:tcW w:w="1134" w:type="dxa"/>
            <w:shd w:val="clear" w:color="auto" w:fill="F2F2F2" w:themeFill="background1" w:themeFillShade="F2"/>
            <w:vAlign w:val="center"/>
          </w:tcPr>
          <w:p w:rsidR="00AA2E08" w:rsidRPr="00EA5A96" w:rsidRDefault="00AA2E08" w:rsidP="00AA2E08">
            <w:pPr>
              <w:jc w:val="center"/>
              <w:rPr>
                <w:rFonts w:asciiTheme="minorHAnsi" w:hAnsiTheme="minorHAnsi"/>
                <w:b/>
                <w:sz w:val="20"/>
                <w:lang w:val="fr-FR"/>
              </w:rPr>
            </w:pPr>
            <w:r w:rsidRPr="00EA5A96">
              <w:rPr>
                <w:rFonts w:asciiTheme="minorHAnsi" w:hAnsiTheme="minorHAnsi"/>
                <w:b/>
                <w:sz w:val="20"/>
                <w:lang w:val="fr-FR"/>
              </w:rPr>
              <w:t>Name</w:t>
            </w:r>
          </w:p>
        </w:tc>
        <w:tc>
          <w:tcPr>
            <w:tcW w:w="992" w:type="dxa"/>
            <w:shd w:val="clear" w:color="auto" w:fill="F2F2F2" w:themeFill="background1" w:themeFillShade="F2"/>
            <w:vAlign w:val="center"/>
          </w:tcPr>
          <w:p w:rsidR="00AA2E08" w:rsidRPr="00EA5A96" w:rsidRDefault="0016015B" w:rsidP="00AA2E08">
            <w:pPr>
              <w:jc w:val="center"/>
              <w:rPr>
                <w:rFonts w:asciiTheme="minorHAnsi" w:hAnsiTheme="minorHAnsi"/>
                <w:b/>
                <w:sz w:val="20"/>
                <w:lang w:val="fr-FR"/>
              </w:rPr>
            </w:pPr>
            <w:proofErr w:type="spellStart"/>
            <w:r>
              <w:rPr>
                <w:rFonts w:asciiTheme="minorHAnsi" w:hAnsiTheme="minorHAnsi"/>
                <w:b/>
                <w:sz w:val="20"/>
                <w:lang w:val="fr-FR"/>
              </w:rPr>
              <w:t>T</w:t>
            </w:r>
            <w:r w:rsidR="00AA2E08" w:rsidRPr="00EA5A96">
              <w:rPr>
                <w:rFonts w:asciiTheme="minorHAnsi" w:hAnsiTheme="minorHAnsi"/>
                <w:b/>
                <w:sz w:val="20"/>
                <w:lang w:val="fr-FR"/>
              </w:rPr>
              <w:t>eaching</w:t>
            </w:r>
            <w:proofErr w:type="spellEnd"/>
            <w:r w:rsidR="00AA2E08" w:rsidRPr="00EA5A96">
              <w:rPr>
                <w:rFonts w:asciiTheme="minorHAnsi" w:hAnsiTheme="minorHAnsi"/>
                <w:b/>
                <w:sz w:val="20"/>
                <w:lang w:val="fr-FR"/>
              </w:rPr>
              <w:t xml:space="preserve"> </w:t>
            </w:r>
            <w:proofErr w:type="spellStart"/>
            <w:r w:rsidR="00AA2E08" w:rsidRPr="00EA5A96">
              <w:rPr>
                <w:rFonts w:asciiTheme="minorHAnsi" w:hAnsiTheme="minorHAnsi"/>
                <w:b/>
                <w:sz w:val="20"/>
                <w:lang w:val="fr-FR"/>
              </w:rPr>
              <w:t>hours</w:t>
            </w:r>
            <w:proofErr w:type="spellEnd"/>
          </w:p>
        </w:tc>
      </w:tr>
      <w:tr w:rsidR="00AA2E08" w:rsidRPr="00AA2E08" w:rsidTr="0016015B">
        <w:trPr>
          <w:trHeight w:val="831"/>
        </w:trPr>
        <w:tc>
          <w:tcPr>
            <w:tcW w:w="817" w:type="dxa"/>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 in the International E-Business</w:t>
            </w:r>
          </w:p>
        </w:tc>
        <w:tc>
          <w:tcPr>
            <w:tcW w:w="3544"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105224 Supply chain management and logistic</w:t>
            </w:r>
          </w:p>
        </w:tc>
        <w:tc>
          <w:tcPr>
            <w:tcW w:w="1134"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ESP-UCAD</w:t>
            </w:r>
          </w:p>
        </w:tc>
        <w:tc>
          <w:tcPr>
            <w:tcW w:w="992"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 in the International E-Business</w:t>
            </w:r>
          </w:p>
        </w:tc>
        <w:tc>
          <w:tcPr>
            <w:tcW w:w="3544"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30135 International Flexible Program Management</w:t>
            </w:r>
          </w:p>
        </w:tc>
        <w:tc>
          <w:tcPr>
            <w:tcW w:w="1134" w:type="dxa"/>
            <w:vAlign w:val="center"/>
          </w:tcPr>
          <w:p w:rsidR="00AA2E08" w:rsidRPr="00AA2E08" w:rsidRDefault="00276968" w:rsidP="00AA2E08">
            <w:pPr>
              <w:jc w:val="center"/>
              <w:rPr>
                <w:rFonts w:asciiTheme="minorHAnsi" w:hAnsiTheme="minorHAnsi"/>
                <w:sz w:val="20"/>
                <w:lang w:val="en-US"/>
              </w:rPr>
            </w:pPr>
            <w:r>
              <w:rPr>
                <w:rFonts w:asciiTheme="minorHAnsi" w:hAnsiTheme="minorHAnsi"/>
                <w:sz w:val="20"/>
                <w:lang w:val="en-US"/>
              </w:rPr>
              <w:t>SIRVEN O.</w:t>
            </w:r>
          </w:p>
        </w:tc>
        <w:tc>
          <w:tcPr>
            <w:tcW w:w="992"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GEB</w:t>
            </w:r>
          </w:p>
        </w:tc>
        <w:tc>
          <w:tcPr>
            <w:tcW w:w="992"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3</w:t>
            </w:r>
          </w:p>
        </w:tc>
        <w:tc>
          <w:tcPr>
            <w:tcW w:w="1701" w:type="dxa"/>
            <w:tcBorders>
              <w:bottom w:val="single" w:sz="4" w:space="0" w:color="auto"/>
            </w:tcBorders>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 in the International E-Business</w:t>
            </w:r>
          </w:p>
        </w:tc>
        <w:tc>
          <w:tcPr>
            <w:tcW w:w="354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105224 International Complex Purchasing</w:t>
            </w:r>
          </w:p>
        </w:tc>
        <w:tc>
          <w:tcPr>
            <w:tcW w:w="113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ESP-UCAD</w:t>
            </w:r>
          </w:p>
        </w:tc>
        <w:tc>
          <w:tcPr>
            <w:tcW w:w="992"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GEB</w:t>
            </w:r>
          </w:p>
        </w:tc>
        <w:tc>
          <w:tcPr>
            <w:tcW w:w="992"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3</w:t>
            </w:r>
          </w:p>
        </w:tc>
        <w:tc>
          <w:tcPr>
            <w:tcW w:w="1701" w:type="dxa"/>
            <w:tcBorders>
              <w:bottom w:val="single" w:sz="4" w:space="0" w:color="auto"/>
            </w:tcBorders>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 in the International E-Business</w:t>
            </w:r>
          </w:p>
        </w:tc>
        <w:tc>
          <w:tcPr>
            <w:tcW w:w="354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301376 The secrets of International Selling</w:t>
            </w:r>
          </w:p>
        </w:tc>
        <w:tc>
          <w:tcPr>
            <w:tcW w:w="113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ESP-UCAD</w:t>
            </w:r>
          </w:p>
        </w:tc>
        <w:tc>
          <w:tcPr>
            <w:tcW w:w="992"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992"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1701"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354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113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992"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r>
      <w:tr w:rsidR="00AA2E08" w:rsidTr="0016015B">
        <w:tc>
          <w:tcPr>
            <w:tcW w:w="817" w:type="dxa"/>
            <w:tcBorders>
              <w:top w:val="single" w:sz="4" w:space="0" w:color="auto"/>
            </w:tcBorders>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tcBorders>
              <w:top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tcBorders>
              <w:top w:val="single" w:sz="4" w:space="0" w:color="auto"/>
            </w:tcBorders>
            <w:vAlign w:val="center"/>
          </w:tcPr>
          <w:p w:rsidR="00AA2E08" w:rsidRDefault="00AA2E08" w:rsidP="00AA2E08">
            <w:pPr>
              <w:jc w:val="center"/>
              <w:rPr>
                <w:rFonts w:asciiTheme="minorHAnsi" w:hAnsiTheme="minorHAnsi"/>
                <w:sz w:val="20"/>
                <w:lang w:val="fr-FR"/>
              </w:rPr>
            </w:pPr>
            <w:proofErr w:type="spellStart"/>
            <w:r>
              <w:rPr>
                <w:rFonts w:asciiTheme="minorHAnsi" w:hAnsiTheme="minorHAnsi"/>
                <w:sz w:val="20"/>
                <w:lang w:val="fr-FR"/>
              </w:rPr>
              <w:t>Becoming</w:t>
            </w:r>
            <w:proofErr w:type="spellEnd"/>
            <w:r>
              <w:rPr>
                <w:rFonts w:asciiTheme="minorHAnsi" w:hAnsiTheme="minorHAnsi"/>
                <w:sz w:val="20"/>
                <w:lang w:val="fr-FR"/>
              </w:rPr>
              <w:t xml:space="preserve"> an IT </w:t>
            </w:r>
            <w:proofErr w:type="spellStart"/>
            <w:r>
              <w:rPr>
                <w:rFonts w:asciiTheme="minorHAnsi" w:hAnsiTheme="minorHAnsi"/>
                <w:sz w:val="20"/>
                <w:lang w:val="fr-FR"/>
              </w:rPr>
              <w:t>literate</w:t>
            </w:r>
            <w:proofErr w:type="spellEnd"/>
          </w:p>
        </w:tc>
        <w:tc>
          <w:tcPr>
            <w:tcW w:w="3544" w:type="dxa"/>
            <w:tcBorders>
              <w:top w:val="single" w:sz="4" w:space="0" w:color="auto"/>
            </w:tcBorders>
            <w:vAlign w:val="center"/>
          </w:tcPr>
          <w:p w:rsidR="00AA2E08" w:rsidRPr="00EA5A96" w:rsidRDefault="00EA5A96" w:rsidP="00AA2E08">
            <w:pPr>
              <w:jc w:val="center"/>
              <w:rPr>
                <w:rFonts w:asciiTheme="minorHAnsi" w:hAnsiTheme="minorHAnsi"/>
                <w:sz w:val="20"/>
                <w:lang w:val="en-US"/>
              </w:rPr>
            </w:pPr>
            <w:r>
              <w:rPr>
                <w:rFonts w:asciiTheme="minorHAnsi" w:hAnsiTheme="minorHAnsi"/>
                <w:sz w:val="20"/>
                <w:lang w:val="en-US"/>
              </w:rPr>
              <w:t xml:space="preserve">301146 What are IS and </w:t>
            </w:r>
            <w:proofErr w:type="gramStart"/>
            <w:r>
              <w:rPr>
                <w:rFonts w:asciiTheme="minorHAnsi" w:hAnsiTheme="minorHAnsi"/>
                <w:sz w:val="20"/>
                <w:lang w:val="en-US"/>
              </w:rPr>
              <w:t>DB ?</w:t>
            </w:r>
            <w:proofErr w:type="gramEnd"/>
          </w:p>
        </w:tc>
        <w:tc>
          <w:tcPr>
            <w:tcW w:w="1134" w:type="dxa"/>
            <w:tcBorders>
              <w:top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tcBorders>
              <w:top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24</w:t>
            </w:r>
          </w:p>
        </w:tc>
      </w:tr>
      <w:tr w:rsidR="00AA2E08" w:rsidTr="0016015B">
        <w:tc>
          <w:tcPr>
            <w:tcW w:w="817" w:type="dxa"/>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Default="00AA2E08" w:rsidP="00AA2E08">
            <w:pPr>
              <w:jc w:val="center"/>
              <w:rPr>
                <w:rFonts w:asciiTheme="minorHAnsi" w:hAnsiTheme="minorHAnsi"/>
                <w:sz w:val="20"/>
                <w:lang w:val="fr-FR"/>
              </w:rPr>
            </w:pPr>
            <w:proofErr w:type="spellStart"/>
            <w:r>
              <w:rPr>
                <w:rFonts w:asciiTheme="minorHAnsi" w:hAnsiTheme="minorHAnsi"/>
                <w:sz w:val="20"/>
                <w:lang w:val="fr-FR"/>
              </w:rPr>
              <w:t>Becoming</w:t>
            </w:r>
            <w:proofErr w:type="spellEnd"/>
            <w:r>
              <w:rPr>
                <w:rFonts w:asciiTheme="minorHAnsi" w:hAnsiTheme="minorHAnsi"/>
                <w:sz w:val="20"/>
                <w:lang w:val="fr-FR"/>
              </w:rPr>
              <w:t xml:space="preserve"> an IT </w:t>
            </w:r>
            <w:proofErr w:type="spellStart"/>
            <w:r>
              <w:rPr>
                <w:rFonts w:asciiTheme="minorHAnsi" w:hAnsiTheme="minorHAnsi"/>
                <w:sz w:val="20"/>
                <w:lang w:val="fr-FR"/>
              </w:rPr>
              <w:t>literate</w:t>
            </w:r>
            <w:proofErr w:type="spellEnd"/>
          </w:p>
        </w:tc>
        <w:tc>
          <w:tcPr>
            <w:tcW w:w="354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 xml:space="preserve">301145 </w:t>
            </w:r>
            <w:proofErr w:type="spellStart"/>
            <w:r>
              <w:rPr>
                <w:rFonts w:asciiTheme="minorHAnsi" w:hAnsiTheme="minorHAnsi"/>
                <w:sz w:val="20"/>
                <w:lang w:val="fr-FR"/>
              </w:rPr>
              <w:t>What</w:t>
            </w:r>
            <w:proofErr w:type="spellEnd"/>
            <w:r>
              <w:rPr>
                <w:rFonts w:asciiTheme="minorHAnsi" w:hAnsiTheme="minorHAnsi"/>
                <w:sz w:val="20"/>
                <w:lang w:val="fr-FR"/>
              </w:rPr>
              <w:t xml:space="preserve"> </w:t>
            </w:r>
            <w:proofErr w:type="spellStart"/>
            <w:r>
              <w:rPr>
                <w:rFonts w:asciiTheme="minorHAnsi" w:hAnsiTheme="minorHAnsi"/>
                <w:sz w:val="20"/>
                <w:lang w:val="fr-FR"/>
              </w:rPr>
              <w:t>is</w:t>
            </w:r>
            <w:proofErr w:type="spellEnd"/>
            <w:r>
              <w:rPr>
                <w:rFonts w:asciiTheme="minorHAnsi" w:hAnsiTheme="minorHAnsi"/>
                <w:sz w:val="20"/>
                <w:lang w:val="fr-FR"/>
              </w:rPr>
              <w:t xml:space="preserve"> data </w:t>
            </w:r>
            <w:proofErr w:type="spellStart"/>
            <w:r>
              <w:rPr>
                <w:rFonts w:asciiTheme="minorHAnsi" w:hAnsiTheme="minorHAnsi"/>
                <w:sz w:val="20"/>
                <w:lang w:val="fr-FR"/>
              </w:rPr>
              <w:t>processing</w:t>
            </w:r>
            <w:proofErr w:type="spellEnd"/>
            <w:r>
              <w:rPr>
                <w:rFonts w:asciiTheme="minorHAnsi" w:hAnsiTheme="minorHAnsi"/>
                <w:sz w:val="20"/>
                <w:lang w:val="fr-FR"/>
              </w:rPr>
              <w:t> ?</w:t>
            </w:r>
          </w:p>
        </w:tc>
        <w:tc>
          <w:tcPr>
            <w:tcW w:w="113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24</w:t>
            </w:r>
          </w:p>
        </w:tc>
      </w:tr>
      <w:tr w:rsidR="00AA2E08" w:rsidTr="0016015B">
        <w:tc>
          <w:tcPr>
            <w:tcW w:w="817" w:type="dxa"/>
            <w:tcBorders>
              <w:bottom w:val="single" w:sz="4" w:space="0" w:color="auto"/>
            </w:tcBorders>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tcBorders>
              <w:bottom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tcBorders>
              <w:bottom w:val="single" w:sz="4" w:space="0" w:color="auto"/>
            </w:tcBorders>
            <w:vAlign w:val="center"/>
          </w:tcPr>
          <w:p w:rsidR="00AA2E08" w:rsidRDefault="00AA2E08" w:rsidP="00AA2E08">
            <w:pPr>
              <w:jc w:val="center"/>
              <w:rPr>
                <w:rFonts w:asciiTheme="minorHAnsi" w:hAnsiTheme="minorHAnsi"/>
                <w:sz w:val="20"/>
                <w:lang w:val="fr-FR"/>
              </w:rPr>
            </w:pPr>
            <w:proofErr w:type="spellStart"/>
            <w:r>
              <w:rPr>
                <w:rFonts w:asciiTheme="minorHAnsi" w:hAnsiTheme="minorHAnsi"/>
                <w:sz w:val="20"/>
                <w:lang w:val="fr-FR"/>
              </w:rPr>
              <w:t>Becoming</w:t>
            </w:r>
            <w:proofErr w:type="spellEnd"/>
            <w:r>
              <w:rPr>
                <w:rFonts w:asciiTheme="minorHAnsi" w:hAnsiTheme="minorHAnsi"/>
                <w:sz w:val="20"/>
                <w:lang w:val="fr-FR"/>
              </w:rPr>
              <w:t xml:space="preserve"> an IT </w:t>
            </w:r>
            <w:proofErr w:type="spellStart"/>
            <w:r>
              <w:rPr>
                <w:rFonts w:asciiTheme="minorHAnsi" w:hAnsiTheme="minorHAnsi"/>
                <w:sz w:val="20"/>
                <w:lang w:val="fr-FR"/>
              </w:rPr>
              <w:t>literate</w:t>
            </w:r>
            <w:proofErr w:type="spellEnd"/>
          </w:p>
        </w:tc>
        <w:tc>
          <w:tcPr>
            <w:tcW w:w="3544" w:type="dxa"/>
            <w:tcBorders>
              <w:bottom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 xml:space="preserve">301148 </w:t>
            </w:r>
            <w:proofErr w:type="spellStart"/>
            <w:r>
              <w:rPr>
                <w:rFonts w:asciiTheme="minorHAnsi" w:hAnsiTheme="minorHAnsi"/>
                <w:sz w:val="20"/>
                <w:lang w:val="fr-FR"/>
              </w:rPr>
              <w:t>Understanding</w:t>
            </w:r>
            <w:proofErr w:type="spellEnd"/>
            <w:r>
              <w:rPr>
                <w:rFonts w:asciiTheme="minorHAnsi" w:hAnsiTheme="minorHAnsi"/>
                <w:sz w:val="20"/>
                <w:lang w:val="fr-FR"/>
              </w:rPr>
              <w:t xml:space="preserve"> Computer Networks</w:t>
            </w:r>
          </w:p>
        </w:tc>
        <w:tc>
          <w:tcPr>
            <w:tcW w:w="1134" w:type="dxa"/>
            <w:tcBorders>
              <w:bottom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tcBorders>
              <w:bottom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24</w:t>
            </w:r>
          </w:p>
        </w:tc>
      </w:tr>
      <w:tr w:rsidR="00AA2E08" w:rsidTr="0016015B">
        <w:tc>
          <w:tcPr>
            <w:tcW w:w="817" w:type="dxa"/>
            <w:tcBorders>
              <w:bottom w:val="single" w:sz="4" w:space="0" w:color="auto"/>
            </w:tcBorders>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tcBorders>
              <w:bottom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tcBorders>
              <w:bottom w:val="single" w:sz="4" w:space="0" w:color="auto"/>
            </w:tcBorders>
            <w:vAlign w:val="center"/>
          </w:tcPr>
          <w:p w:rsidR="00AA2E08" w:rsidRDefault="00AA2E08" w:rsidP="00AA2E08">
            <w:pPr>
              <w:jc w:val="center"/>
              <w:rPr>
                <w:rFonts w:asciiTheme="minorHAnsi" w:hAnsiTheme="minorHAnsi"/>
                <w:sz w:val="20"/>
                <w:lang w:val="fr-FR"/>
              </w:rPr>
            </w:pPr>
            <w:proofErr w:type="spellStart"/>
            <w:r>
              <w:rPr>
                <w:rFonts w:asciiTheme="minorHAnsi" w:hAnsiTheme="minorHAnsi"/>
                <w:sz w:val="20"/>
                <w:lang w:val="fr-FR"/>
              </w:rPr>
              <w:t>Becoming</w:t>
            </w:r>
            <w:proofErr w:type="spellEnd"/>
            <w:r>
              <w:rPr>
                <w:rFonts w:asciiTheme="minorHAnsi" w:hAnsiTheme="minorHAnsi"/>
                <w:sz w:val="20"/>
                <w:lang w:val="fr-FR"/>
              </w:rPr>
              <w:t xml:space="preserve"> an IT </w:t>
            </w:r>
            <w:proofErr w:type="spellStart"/>
            <w:r>
              <w:rPr>
                <w:rFonts w:asciiTheme="minorHAnsi" w:hAnsiTheme="minorHAnsi"/>
                <w:sz w:val="20"/>
                <w:lang w:val="fr-FR"/>
              </w:rPr>
              <w:t>literate</w:t>
            </w:r>
            <w:proofErr w:type="spellEnd"/>
          </w:p>
        </w:tc>
        <w:tc>
          <w:tcPr>
            <w:tcW w:w="3544" w:type="dxa"/>
            <w:tcBorders>
              <w:bottom w:val="single" w:sz="4" w:space="0" w:color="auto"/>
            </w:tcBorders>
            <w:vAlign w:val="center"/>
          </w:tcPr>
          <w:p w:rsidR="00AA2E08" w:rsidRPr="00EA5A96" w:rsidRDefault="00EA5A96" w:rsidP="00AA2E08">
            <w:pPr>
              <w:jc w:val="center"/>
              <w:rPr>
                <w:rFonts w:asciiTheme="minorHAnsi" w:hAnsiTheme="minorHAnsi"/>
                <w:sz w:val="20"/>
                <w:lang w:val="en-US"/>
              </w:rPr>
            </w:pPr>
            <w:r w:rsidRPr="00EA5A96">
              <w:rPr>
                <w:rFonts w:asciiTheme="minorHAnsi" w:hAnsiTheme="minorHAnsi"/>
                <w:sz w:val="20"/>
                <w:lang w:val="en-US"/>
              </w:rPr>
              <w:t>301147 All about Data mind &amp; E-commerce</w:t>
            </w:r>
          </w:p>
        </w:tc>
        <w:tc>
          <w:tcPr>
            <w:tcW w:w="1134" w:type="dxa"/>
            <w:tcBorders>
              <w:bottom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tcBorders>
              <w:bottom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24</w:t>
            </w:r>
          </w:p>
        </w:tc>
      </w:tr>
      <w:tr w:rsidR="00AA2E08" w:rsidRPr="00AA2E08" w:rsidTr="0016015B">
        <w:tc>
          <w:tcPr>
            <w:tcW w:w="817"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fr-FR"/>
              </w:rPr>
            </w:pPr>
          </w:p>
        </w:tc>
        <w:tc>
          <w:tcPr>
            <w:tcW w:w="992" w:type="dxa"/>
            <w:tcBorders>
              <w:top w:val="single" w:sz="4" w:space="0" w:color="auto"/>
              <w:left w:val="nil"/>
              <w:bottom w:val="single" w:sz="4" w:space="0" w:color="auto"/>
              <w:right w:val="nil"/>
            </w:tcBorders>
            <w:vAlign w:val="center"/>
          </w:tcPr>
          <w:p w:rsidR="00AA2E08" w:rsidRDefault="00AA2E08" w:rsidP="00AA2E08">
            <w:pPr>
              <w:jc w:val="center"/>
              <w:rPr>
                <w:rFonts w:asciiTheme="minorHAnsi" w:hAnsiTheme="minorHAnsi"/>
                <w:sz w:val="20"/>
                <w:lang w:val="fr-FR"/>
              </w:rPr>
            </w:pPr>
          </w:p>
        </w:tc>
        <w:tc>
          <w:tcPr>
            <w:tcW w:w="1701"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354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113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992"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r>
      <w:tr w:rsidR="00AA2E08" w:rsidRPr="00AA2E08" w:rsidTr="0016015B">
        <w:tc>
          <w:tcPr>
            <w:tcW w:w="817" w:type="dxa"/>
            <w:tcBorders>
              <w:top w:val="single" w:sz="4" w:space="0" w:color="auto"/>
            </w:tcBorders>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tcBorders>
              <w:top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tcBorders>
              <w:top w:val="single" w:sz="4" w:space="0" w:color="auto"/>
            </w:tcBorders>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Mastering IT Law, Security, Projects</w:t>
            </w:r>
          </w:p>
        </w:tc>
        <w:tc>
          <w:tcPr>
            <w:tcW w:w="3544" w:type="dxa"/>
            <w:tcBorders>
              <w:top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301164 Internet &amp; NTIC law</w:t>
            </w:r>
          </w:p>
        </w:tc>
        <w:tc>
          <w:tcPr>
            <w:tcW w:w="1134" w:type="dxa"/>
            <w:tcBorders>
              <w:top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ESP-UCAD</w:t>
            </w:r>
          </w:p>
        </w:tc>
        <w:tc>
          <w:tcPr>
            <w:tcW w:w="992" w:type="dxa"/>
            <w:tcBorders>
              <w:top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vAlign w:val="center"/>
          </w:tcPr>
          <w:p w:rsidR="00AA2E08" w:rsidRP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Mastering IT Law, Security, Projects</w:t>
            </w:r>
          </w:p>
        </w:tc>
        <w:tc>
          <w:tcPr>
            <w:tcW w:w="3544"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301161 International Contracts, from Deal to Sign</w:t>
            </w:r>
          </w:p>
        </w:tc>
        <w:tc>
          <w:tcPr>
            <w:tcW w:w="1134" w:type="dxa"/>
            <w:vAlign w:val="center"/>
          </w:tcPr>
          <w:p w:rsidR="00AA2E08" w:rsidRPr="00AA2E08" w:rsidRDefault="00276968" w:rsidP="00AA2E08">
            <w:pPr>
              <w:jc w:val="center"/>
              <w:rPr>
                <w:rFonts w:asciiTheme="minorHAnsi" w:hAnsiTheme="minorHAnsi"/>
                <w:sz w:val="20"/>
                <w:lang w:val="en-US"/>
              </w:rPr>
            </w:pPr>
            <w:r>
              <w:rPr>
                <w:rFonts w:asciiTheme="minorHAnsi" w:hAnsiTheme="minorHAnsi"/>
                <w:sz w:val="20"/>
                <w:lang w:val="en-US"/>
              </w:rPr>
              <w:t>BOUCQ R.</w:t>
            </w:r>
          </w:p>
        </w:tc>
        <w:tc>
          <w:tcPr>
            <w:tcW w:w="992" w:type="dxa"/>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GEB</w:t>
            </w:r>
          </w:p>
        </w:tc>
        <w:tc>
          <w:tcPr>
            <w:tcW w:w="992"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3</w:t>
            </w:r>
          </w:p>
        </w:tc>
        <w:tc>
          <w:tcPr>
            <w:tcW w:w="1701" w:type="dxa"/>
            <w:tcBorders>
              <w:bottom w:val="single" w:sz="4" w:space="0" w:color="auto"/>
            </w:tcBorders>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Mastering IT Law, Security, Projects</w:t>
            </w:r>
          </w:p>
        </w:tc>
        <w:tc>
          <w:tcPr>
            <w:tcW w:w="354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109248 E-Business Security</w:t>
            </w:r>
          </w:p>
        </w:tc>
        <w:tc>
          <w:tcPr>
            <w:tcW w:w="1134" w:type="dxa"/>
            <w:tcBorders>
              <w:bottom w:val="single" w:sz="4" w:space="0" w:color="auto"/>
            </w:tcBorders>
            <w:vAlign w:val="center"/>
          </w:tcPr>
          <w:p w:rsidR="00AA2E08" w:rsidRPr="00276968" w:rsidRDefault="00276968" w:rsidP="00276968">
            <w:pPr>
              <w:jc w:val="center"/>
              <w:rPr>
                <w:rFonts w:asciiTheme="minorHAnsi" w:hAnsiTheme="minorHAnsi"/>
                <w:sz w:val="20"/>
                <w:lang w:val="en-US"/>
              </w:rPr>
            </w:pPr>
            <w:r w:rsidRPr="00276968">
              <w:rPr>
                <w:rFonts w:asciiTheme="minorHAnsi" w:hAnsiTheme="minorHAnsi"/>
                <w:sz w:val="20"/>
                <w:lang w:val="en-US"/>
              </w:rPr>
              <w:t>SPASOVA</w:t>
            </w:r>
            <w:r>
              <w:rPr>
                <w:rFonts w:asciiTheme="minorHAnsi" w:hAnsiTheme="minorHAnsi"/>
                <w:sz w:val="20"/>
                <w:lang w:val="en-US"/>
              </w:rPr>
              <w:t xml:space="preserve"> A.</w:t>
            </w:r>
          </w:p>
        </w:tc>
        <w:tc>
          <w:tcPr>
            <w:tcW w:w="992"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24</w:t>
            </w:r>
          </w:p>
        </w:tc>
      </w:tr>
      <w:tr w:rsidR="00AA2E08" w:rsidRPr="00AA2E08" w:rsidTr="0016015B">
        <w:tc>
          <w:tcPr>
            <w:tcW w:w="817"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GEB</w:t>
            </w:r>
          </w:p>
        </w:tc>
        <w:tc>
          <w:tcPr>
            <w:tcW w:w="992" w:type="dxa"/>
            <w:tcBorders>
              <w:bottom w:val="single" w:sz="4" w:space="0" w:color="auto"/>
            </w:tcBorders>
            <w:vAlign w:val="center"/>
          </w:tcPr>
          <w:p w:rsidR="00AA2E08" w:rsidRPr="00276968" w:rsidRDefault="00AA2E08" w:rsidP="00AA2E08">
            <w:pPr>
              <w:jc w:val="center"/>
              <w:rPr>
                <w:rFonts w:asciiTheme="minorHAnsi" w:hAnsiTheme="minorHAnsi"/>
                <w:sz w:val="20"/>
                <w:lang w:val="en-US"/>
              </w:rPr>
            </w:pPr>
            <w:r w:rsidRPr="00276968">
              <w:rPr>
                <w:rFonts w:asciiTheme="minorHAnsi" w:hAnsiTheme="minorHAnsi"/>
                <w:sz w:val="20"/>
                <w:lang w:val="en-US"/>
              </w:rPr>
              <w:t>3</w:t>
            </w:r>
          </w:p>
        </w:tc>
        <w:tc>
          <w:tcPr>
            <w:tcW w:w="1701" w:type="dxa"/>
            <w:tcBorders>
              <w:bottom w:val="single" w:sz="4" w:space="0" w:color="auto"/>
            </w:tcBorders>
            <w:vAlign w:val="center"/>
          </w:tcPr>
          <w:p w:rsidR="00AA2E08" w:rsidRPr="00AA2E08" w:rsidRDefault="00AA2E08" w:rsidP="00AA2E08">
            <w:pPr>
              <w:jc w:val="center"/>
              <w:rPr>
                <w:rFonts w:asciiTheme="minorHAnsi" w:hAnsiTheme="minorHAnsi"/>
                <w:sz w:val="20"/>
                <w:lang w:val="en-US"/>
              </w:rPr>
            </w:pPr>
            <w:r w:rsidRPr="00AA2E08">
              <w:rPr>
                <w:rFonts w:asciiTheme="minorHAnsi" w:hAnsiTheme="minorHAnsi"/>
                <w:sz w:val="20"/>
                <w:lang w:val="en-US"/>
              </w:rPr>
              <w:t>Mastering IT Law, Security, Projects</w:t>
            </w:r>
          </w:p>
        </w:tc>
        <w:tc>
          <w:tcPr>
            <w:tcW w:w="354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105225 E-Business Development Management</w:t>
            </w:r>
          </w:p>
        </w:tc>
        <w:tc>
          <w:tcPr>
            <w:tcW w:w="1134"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ESP-UCAD</w:t>
            </w:r>
          </w:p>
        </w:tc>
        <w:tc>
          <w:tcPr>
            <w:tcW w:w="992" w:type="dxa"/>
            <w:tcBorders>
              <w:bottom w:val="single" w:sz="4" w:space="0" w:color="auto"/>
            </w:tcBorders>
            <w:vAlign w:val="center"/>
          </w:tcPr>
          <w:p w:rsidR="00AA2E08" w:rsidRPr="00AA2E08" w:rsidRDefault="00EA5A96" w:rsidP="00AA2E08">
            <w:pPr>
              <w:jc w:val="center"/>
              <w:rPr>
                <w:rFonts w:asciiTheme="minorHAnsi" w:hAnsiTheme="minorHAnsi"/>
                <w:sz w:val="20"/>
                <w:lang w:val="en-US"/>
              </w:rPr>
            </w:pPr>
            <w:r>
              <w:rPr>
                <w:rFonts w:asciiTheme="minorHAnsi" w:hAnsiTheme="minorHAnsi"/>
                <w:sz w:val="20"/>
                <w:lang w:val="en-US"/>
              </w:rPr>
              <w:t>18</w:t>
            </w:r>
          </w:p>
        </w:tc>
      </w:tr>
      <w:tr w:rsidR="00AA2E08" w:rsidRPr="00AA2E08" w:rsidTr="0016015B">
        <w:tc>
          <w:tcPr>
            <w:tcW w:w="817"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992"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1701"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354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1134"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c>
          <w:tcPr>
            <w:tcW w:w="992" w:type="dxa"/>
            <w:tcBorders>
              <w:top w:val="single" w:sz="4" w:space="0" w:color="auto"/>
              <w:left w:val="nil"/>
              <w:bottom w:val="single" w:sz="4" w:space="0" w:color="auto"/>
              <w:right w:val="nil"/>
            </w:tcBorders>
            <w:vAlign w:val="center"/>
          </w:tcPr>
          <w:p w:rsidR="00AA2E08" w:rsidRPr="00AA2E08" w:rsidRDefault="00AA2E08" w:rsidP="00AA2E08">
            <w:pPr>
              <w:jc w:val="center"/>
              <w:rPr>
                <w:rFonts w:asciiTheme="minorHAnsi" w:hAnsiTheme="minorHAnsi"/>
                <w:sz w:val="20"/>
                <w:lang w:val="en-US"/>
              </w:rPr>
            </w:pPr>
          </w:p>
        </w:tc>
      </w:tr>
      <w:tr w:rsidR="00AA2E08" w:rsidTr="0016015B">
        <w:tc>
          <w:tcPr>
            <w:tcW w:w="817" w:type="dxa"/>
            <w:tcBorders>
              <w:top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tcBorders>
              <w:top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tcBorders>
              <w:top w:val="single" w:sz="4" w:space="0" w:color="auto"/>
            </w:tcBorders>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Essentials of International Management</w:t>
            </w:r>
          </w:p>
        </w:tc>
        <w:tc>
          <w:tcPr>
            <w:tcW w:w="3544" w:type="dxa"/>
            <w:tcBorders>
              <w:top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301377 Cross Cultural Managers</w:t>
            </w:r>
          </w:p>
        </w:tc>
        <w:tc>
          <w:tcPr>
            <w:tcW w:w="1134" w:type="dxa"/>
            <w:tcBorders>
              <w:top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tcBorders>
              <w:top w:val="single" w:sz="4" w:space="0" w:color="auto"/>
            </w:tcBorders>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15</w:t>
            </w:r>
          </w:p>
        </w:tc>
      </w:tr>
      <w:tr w:rsidR="00AA2E08" w:rsidTr="0016015B">
        <w:tc>
          <w:tcPr>
            <w:tcW w:w="817"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Essentials of International Management</w:t>
            </w:r>
          </w:p>
        </w:tc>
        <w:tc>
          <w:tcPr>
            <w:tcW w:w="354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301377 Cross Cultural Managers</w:t>
            </w:r>
          </w:p>
        </w:tc>
        <w:tc>
          <w:tcPr>
            <w:tcW w:w="113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15</w:t>
            </w:r>
          </w:p>
        </w:tc>
      </w:tr>
      <w:tr w:rsidR="00AA2E08" w:rsidTr="0016015B">
        <w:trPr>
          <w:trHeight w:val="988"/>
        </w:trPr>
        <w:tc>
          <w:tcPr>
            <w:tcW w:w="817"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Essentials of International Management</w:t>
            </w:r>
          </w:p>
        </w:tc>
        <w:tc>
          <w:tcPr>
            <w:tcW w:w="354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 xml:space="preserve">301163 </w:t>
            </w:r>
            <w:proofErr w:type="spellStart"/>
            <w:r>
              <w:rPr>
                <w:rFonts w:asciiTheme="minorHAnsi" w:hAnsiTheme="minorHAnsi"/>
                <w:sz w:val="20"/>
                <w:lang w:val="fr-FR"/>
              </w:rPr>
              <w:t>Doing</w:t>
            </w:r>
            <w:proofErr w:type="spellEnd"/>
            <w:r>
              <w:rPr>
                <w:rFonts w:asciiTheme="minorHAnsi" w:hAnsiTheme="minorHAnsi"/>
                <w:sz w:val="20"/>
                <w:lang w:val="fr-FR"/>
              </w:rPr>
              <w:t xml:space="preserve"> Business </w:t>
            </w:r>
            <w:proofErr w:type="spellStart"/>
            <w:r>
              <w:rPr>
                <w:rFonts w:asciiTheme="minorHAnsi" w:hAnsiTheme="minorHAnsi"/>
                <w:sz w:val="20"/>
                <w:lang w:val="fr-FR"/>
              </w:rPr>
              <w:t>with</w:t>
            </w:r>
            <w:proofErr w:type="spellEnd"/>
            <w:r>
              <w:rPr>
                <w:rFonts w:asciiTheme="minorHAnsi" w:hAnsiTheme="minorHAnsi"/>
                <w:sz w:val="20"/>
                <w:lang w:val="fr-FR"/>
              </w:rPr>
              <w:t xml:space="preserve"> </w:t>
            </w:r>
            <w:proofErr w:type="spellStart"/>
            <w:r>
              <w:rPr>
                <w:rFonts w:asciiTheme="minorHAnsi" w:hAnsiTheme="minorHAnsi"/>
                <w:sz w:val="20"/>
                <w:lang w:val="fr-FR"/>
              </w:rPr>
              <w:t>Ethics</w:t>
            </w:r>
            <w:proofErr w:type="spellEnd"/>
          </w:p>
        </w:tc>
        <w:tc>
          <w:tcPr>
            <w:tcW w:w="113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24</w:t>
            </w:r>
          </w:p>
        </w:tc>
      </w:tr>
      <w:tr w:rsidR="00AA2E08" w:rsidTr="0016015B">
        <w:tc>
          <w:tcPr>
            <w:tcW w:w="817"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lastRenderedPageBreak/>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3</w:t>
            </w:r>
          </w:p>
        </w:tc>
        <w:tc>
          <w:tcPr>
            <w:tcW w:w="1701"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Essentials of International Management</w:t>
            </w:r>
          </w:p>
        </w:tc>
        <w:tc>
          <w:tcPr>
            <w:tcW w:w="3544" w:type="dxa"/>
            <w:vAlign w:val="center"/>
          </w:tcPr>
          <w:p w:rsidR="00AA2E08" w:rsidRDefault="00276968" w:rsidP="00AA2E08">
            <w:pPr>
              <w:jc w:val="center"/>
              <w:rPr>
                <w:rFonts w:asciiTheme="minorHAnsi" w:hAnsiTheme="minorHAnsi"/>
                <w:sz w:val="20"/>
                <w:lang w:val="fr-FR"/>
              </w:rPr>
            </w:pPr>
            <w:r>
              <w:rPr>
                <w:rFonts w:asciiTheme="minorHAnsi" w:hAnsiTheme="minorHAnsi"/>
                <w:sz w:val="20"/>
                <w:lang w:val="fr-FR"/>
              </w:rPr>
              <w:t xml:space="preserve">301165 </w:t>
            </w:r>
            <w:proofErr w:type="spellStart"/>
            <w:r>
              <w:rPr>
                <w:rFonts w:asciiTheme="minorHAnsi" w:hAnsiTheme="minorHAnsi"/>
                <w:sz w:val="20"/>
                <w:lang w:val="fr-FR"/>
              </w:rPr>
              <w:t>PhD</w:t>
            </w:r>
            <w:proofErr w:type="spellEnd"/>
            <w:r>
              <w:rPr>
                <w:rFonts w:asciiTheme="minorHAnsi" w:hAnsiTheme="minorHAnsi"/>
                <w:sz w:val="20"/>
                <w:lang w:val="fr-FR"/>
              </w:rPr>
              <w:t xml:space="preserve"> </w:t>
            </w:r>
            <w:proofErr w:type="spellStart"/>
            <w:r>
              <w:rPr>
                <w:rFonts w:asciiTheme="minorHAnsi" w:hAnsiTheme="minorHAnsi"/>
                <w:sz w:val="20"/>
                <w:lang w:val="fr-FR"/>
              </w:rPr>
              <w:t>Preparation</w:t>
            </w:r>
            <w:proofErr w:type="spellEnd"/>
            <w:r>
              <w:rPr>
                <w:rFonts w:asciiTheme="minorHAnsi" w:hAnsiTheme="minorHAnsi"/>
                <w:sz w:val="20"/>
                <w:lang w:val="fr-FR"/>
              </w:rPr>
              <w:t xml:space="preserve"> – </w:t>
            </w:r>
            <w:proofErr w:type="spellStart"/>
            <w:r>
              <w:rPr>
                <w:rFonts w:asciiTheme="minorHAnsi" w:hAnsiTheme="minorHAnsi"/>
                <w:sz w:val="20"/>
                <w:lang w:val="fr-FR"/>
              </w:rPr>
              <w:t>Research</w:t>
            </w:r>
            <w:proofErr w:type="spellEnd"/>
            <w:r>
              <w:rPr>
                <w:rFonts w:asciiTheme="minorHAnsi" w:hAnsiTheme="minorHAnsi"/>
                <w:sz w:val="20"/>
                <w:lang w:val="fr-FR"/>
              </w:rPr>
              <w:t xml:space="preserve"> </w:t>
            </w:r>
            <w:proofErr w:type="spellStart"/>
            <w:r>
              <w:rPr>
                <w:rFonts w:asciiTheme="minorHAnsi" w:hAnsiTheme="minorHAnsi"/>
                <w:sz w:val="20"/>
                <w:lang w:val="fr-FR"/>
              </w:rPr>
              <w:t>Track</w:t>
            </w:r>
            <w:proofErr w:type="spellEnd"/>
          </w:p>
        </w:tc>
        <w:tc>
          <w:tcPr>
            <w:tcW w:w="1134"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en-US"/>
              </w:rPr>
              <w:t>ESP-UCAD</w:t>
            </w:r>
          </w:p>
        </w:tc>
        <w:tc>
          <w:tcPr>
            <w:tcW w:w="992" w:type="dxa"/>
            <w:vAlign w:val="center"/>
          </w:tcPr>
          <w:p w:rsidR="00AA2E08" w:rsidRDefault="00EA5A96" w:rsidP="00AA2E08">
            <w:pPr>
              <w:jc w:val="center"/>
              <w:rPr>
                <w:rFonts w:asciiTheme="minorHAnsi" w:hAnsiTheme="minorHAnsi"/>
                <w:sz w:val="20"/>
                <w:lang w:val="fr-FR"/>
              </w:rPr>
            </w:pPr>
            <w:r>
              <w:rPr>
                <w:rFonts w:asciiTheme="minorHAnsi" w:hAnsiTheme="minorHAnsi"/>
                <w:sz w:val="20"/>
                <w:lang w:val="fr-FR"/>
              </w:rPr>
              <w:t>4</w:t>
            </w:r>
          </w:p>
        </w:tc>
      </w:tr>
      <w:tr w:rsidR="00AA2E08" w:rsidTr="0016015B">
        <w:tc>
          <w:tcPr>
            <w:tcW w:w="817"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4</w:t>
            </w:r>
          </w:p>
        </w:tc>
        <w:tc>
          <w:tcPr>
            <w:tcW w:w="1701"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International management (2)</w:t>
            </w:r>
          </w:p>
        </w:tc>
        <w:tc>
          <w:tcPr>
            <w:tcW w:w="3544"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INTERNSHIPS</w:t>
            </w:r>
          </w:p>
        </w:tc>
        <w:tc>
          <w:tcPr>
            <w:tcW w:w="1134" w:type="dxa"/>
            <w:vAlign w:val="center"/>
          </w:tcPr>
          <w:p w:rsidR="00AA2E08" w:rsidRDefault="00AA2E08" w:rsidP="00AA2E08">
            <w:pPr>
              <w:jc w:val="center"/>
              <w:rPr>
                <w:rFonts w:asciiTheme="minorHAnsi" w:hAnsiTheme="minorHAnsi"/>
                <w:sz w:val="20"/>
                <w:lang w:val="fr-FR"/>
              </w:rPr>
            </w:pPr>
          </w:p>
        </w:tc>
        <w:tc>
          <w:tcPr>
            <w:tcW w:w="992" w:type="dxa"/>
            <w:vAlign w:val="center"/>
          </w:tcPr>
          <w:p w:rsidR="00AA2E08" w:rsidRDefault="00AA2E08" w:rsidP="00AA2E08">
            <w:pPr>
              <w:jc w:val="center"/>
              <w:rPr>
                <w:rFonts w:asciiTheme="minorHAnsi" w:hAnsiTheme="minorHAnsi"/>
                <w:sz w:val="20"/>
                <w:lang w:val="fr-FR"/>
              </w:rPr>
            </w:pPr>
          </w:p>
        </w:tc>
      </w:tr>
      <w:tr w:rsidR="00AA2E08" w:rsidTr="0016015B">
        <w:tc>
          <w:tcPr>
            <w:tcW w:w="817"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GEB</w:t>
            </w:r>
          </w:p>
        </w:tc>
        <w:tc>
          <w:tcPr>
            <w:tcW w:w="992"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4</w:t>
            </w:r>
          </w:p>
        </w:tc>
        <w:tc>
          <w:tcPr>
            <w:tcW w:w="1701"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International management (2)</w:t>
            </w:r>
          </w:p>
        </w:tc>
        <w:tc>
          <w:tcPr>
            <w:tcW w:w="3544" w:type="dxa"/>
            <w:vAlign w:val="center"/>
          </w:tcPr>
          <w:p w:rsidR="00AA2E08" w:rsidRDefault="00AA2E08" w:rsidP="00AA2E08">
            <w:pPr>
              <w:jc w:val="center"/>
              <w:rPr>
                <w:rFonts w:asciiTheme="minorHAnsi" w:hAnsiTheme="minorHAnsi"/>
                <w:sz w:val="20"/>
                <w:lang w:val="fr-FR"/>
              </w:rPr>
            </w:pPr>
            <w:r>
              <w:rPr>
                <w:rFonts w:asciiTheme="minorHAnsi" w:hAnsiTheme="minorHAnsi"/>
                <w:sz w:val="20"/>
                <w:lang w:val="fr-FR"/>
              </w:rPr>
              <w:t>PROJECTS</w:t>
            </w:r>
          </w:p>
        </w:tc>
        <w:tc>
          <w:tcPr>
            <w:tcW w:w="1134" w:type="dxa"/>
            <w:vAlign w:val="center"/>
          </w:tcPr>
          <w:p w:rsidR="00AA2E08" w:rsidRDefault="00AA2E08" w:rsidP="00AA2E08">
            <w:pPr>
              <w:jc w:val="center"/>
              <w:rPr>
                <w:rFonts w:asciiTheme="minorHAnsi" w:hAnsiTheme="minorHAnsi"/>
                <w:sz w:val="20"/>
                <w:lang w:val="fr-FR"/>
              </w:rPr>
            </w:pPr>
          </w:p>
        </w:tc>
        <w:tc>
          <w:tcPr>
            <w:tcW w:w="992" w:type="dxa"/>
            <w:vAlign w:val="center"/>
          </w:tcPr>
          <w:p w:rsidR="00AA2E08" w:rsidRDefault="00AA2E08" w:rsidP="00AA2E08">
            <w:pPr>
              <w:jc w:val="center"/>
              <w:rPr>
                <w:rFonts w:asciiTheme="minorHAnsi" w:hAnsiTheme="minorHAnsi"/>
                <w:sz w:val="20"/>
                <w:lang w:val="fr-FR"/>
              </w:rPr>
            </w:pPr>
          </w:p>
        </w:tc>
      </w:tr>
      <w:tr w:rsidR="00276968" w:rsidTr="0016015B">
        <w:tc>
          <w:tcPr>
            <w:tcW w:w="7054" w:type="dxa"/>
            <w:gridSpan w:val="4"/>
            <w:vMerge w:val="restart"/>
            <w:vAlign w:val="center"/>
          </w:tcPr>
          <w:p w:rsidR="00276968" w:rsidRDefault="00276968" w:rsidP="00AA2E08">
            <w:pPr>
              <w:jc w:val="center"/>
              <w:rPr>
                <w:rFonts w:asciiTheme="minorHAnsi" w:hAnsiTheme="minorHAnsi"/>
                <w:sz w:val="20"/>
                <w:lang w:val="fr-FR"/>
              </w:rPr>
            </w:pPr>
          </w:p>
        </w:tc>
        <w:tc>
          <w:tcPr>
            <w:tcW w:w="1134" w:type="dxa"/>
            <w:vAlign w:val="center"/>
          </w:tcPr>
          <w:p w:rsidR="00276968" w:rsidRPr="00276968" w:rsidRDefault="00276968" w:rsidP="00AA2E08">
            <w:pPr>
              <w:jc w:val="center"/>
              <w:rPr>
                <w:rFonts w:asciiTheme="minorHAnsi" w:hAnsiTheme="minorHAnsi"/>
                <w:b/>
                <w:sz w:val="20"/>
                <w:lang w:val="fr-FR"/>
              </w:rPr>
            </w:pPr>
            <w:r w:rsidRPr="00276968">
              <w:rPr>
                <w:rFonts w:asciiTheme="minorHAnsi" w:hAnsiTheme="minorHAnsi"/>
                <w:b/>
                <w:sz w:val="20"/>
                <w:lang w:val="fr-FR"/>
              </w:rPr>
              <w:t>Heures CM</w:t>
            </w:r>
          </w:p>
        </w:tc>
        <w:tc>
          <w:tcPr>
            <w:tcW w:w="992" w:type="dxa"/>
            <w:vAlign w:val="center"/>
          </w:tcPr>
          <w:p w:rsidR="00276968" w:rsidRPr="00276968" w:rsidRDefault="00276968" w:rsidP="00AA2E08">
            <w:pPr>
              <w:jc w:val="center"/>
              <w:rPr>
                <w:rFonts w:asciiTheme="minorHAnsi" w:hAnsiTheme="minorHAnsi"/>
                <w:b/>
                <w:sz w:val="20"/>
                <w:lang w:val="fr-FR"/>
              </w:rPr>
            </w:pPr>
            <w:r w:rsidRPr="00276968">
              <w:rPr>
                <w:rFonts w:asciiTheme="minorHAnsi" w:hAnsiTheme="minorHAnsi"/>
                <w:b/>
                <w:sz w:val="20"/>
                <w:lang w:val="fr-FR"/>
              </w:rPr>
              <w:t>340</w:t>
            </w:r>
          </w:p>
        </w:tc>
      </w:tr>
      <w:tr w:rsidR="00276968" w:rsidTr="0016015B">
        <w:tc>
          <w:tcPr>
            <w:tcW w:w="7054" w:type="dxa"/>
            <w:gridSpan w:val="4"/>
            <w:vMerge/>
            <w:vAlign w:val="center"/>
          </w:tcPr>
          <w:p w:rsidR="00276968" w:rsidRDefault="00276968" w:rsidP="00AA2E08">
            <w:pPr>
              <w:jc w:val="center"/>
              <w:rPr>
                <w:rFonts w:asciiTheme="minorHAnsi" w:hAnsiTheme="minorHAnsi"/>
                <w:sz w:val="20"/>
                <w:lang w:val="fr-FR"/>
              </w:rPr>
            </w:pPr>
          </w:p>
        </w:tc>
        <w:tc>
          <w:tcPr>
            <w:tcW w:w="1134" w:type="dxa"/>
            <w:vAlign w:val="center"/>
          </w:tcPr>
          <w:p w:rsidR="00276968" w:rsidRPr="00276968" w:rsidRDefault="00276968" w:rsidP="00AA2E08">
            <w:pPr>
              <w:jc w:val="center"/>
              <w:rPr>
                <w:rFonts w:asciiTheme="minorHAnsi" w:hAnsiTheme="minorHAnsi"/>
                <w:i/>
                <w:sz w:val="20"/>
                <w:lang w:val="fr-FR"/>
              </w:rPr>
            </w:pPr>
            <w:r w:rsidRPr="00276968">
              <w:rPr>
                <w:rFonts w:asciiTheme="minorHAnsi" w:hAnsiTheme="minorHAnsi"/>
                <w:i/>
                <w:sz w:val="20"/>
                <w:lang w:val="fr-FR"/>
              </w:rPr>
              <w:t>Heures TD</w:t>
            </w:r>
          </w:p>
        </w:tc>
        <w:tc>
          <w:tcPr>
            <w:tcW w:w="992" w:type="dxa"/>
            <w:vAlign w:val="center"/>
          </w:tcPr>
          <w:p w:rsidR="00276968" w:rsidRPr="00276968" w:rsidRDefault="00276968" w:rsidP="00AA2E08">
            <w:pPr>
              <w:jc w:val="center"/>
              <w:rPr>
                <w:rFonts w:asciiTheme="minorHAnsi" w:hAnsiTheme="minorHAnsi"/>
                <w:i/>
                <w:sz w:val="20"/>
                <w:lang w:val="fr-FR"/>
              </w:rPr>
            </w:pPr>
            <w:r w:rsidRPr="00276968">
              <w:rPr>
                <w:rFonts w:asciiTheme="minorHAnsi" w:hAnsiTheme="minorHAnsi"/>
                <w:i/>
                <w:sz w:val="20"/>
                <w:lang w:val="fr-FR"/>
              </w:rPr>
              <w:t>510</w:t>
            </w:r>
          </w:p>
        </w:tc>
      </w:tr>
    </w:tbl>
    <w:p w:rsidR="00F227F4" w:rsidRPr="00F227F4" w:rsidRDefault="00F227F4" w:rsidP="00F227F4">
      <w:pPr>
        <w:rPr>
          <w:rFonts w:asciiTheme="minorHAnsi" w:hAnsiTheme="minorHAnsi"/>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Article 2 - Règles pédagogiques et administratives </w:t>
      </w:r>
    </w:p>
    <w:p w:rsidR="00F227F4" w:rsidRPr="00F227F4" w:rsidRDefault="00F227F4" w:rsidP="00F227F4">
      <w:pPr>
        <w:pStyle w:val="Default"/>
        <w:jc w:val="both"/>
        <w:rPr>
          <w:rFonts w:asciiTheme="minorHAnsi" w:eastAsia="Verdana" w:hAnsiTheme="minorHAnsi" w:cs="Verdana"/>
          <w:b/>
          <w:bCs/>
          <w:sz w:val="22"/>
          <w:szCs w:val="22"/>
          <w:lang w:val="fr-FR"/>
        </w:rPr>
      </w:pPr>
      <w:r w:rsidRPr="00F227F4">
        <w:rPr>
          <w:rFonts w:asciiTheme="minorHAnsi" w:eastAsia="Verdana" w:hAnsiTheme="minorHAnsi" w:cs="Verdana"/>
          <w:sz w:val="22"/>
          <w:szCs w:val="22"/>
          <w:lang w:val="fr-FR"/>
        </w:rPr>
        <w:t xml:space="preserve">Ces règles doivent faire l’objet d’une brochure communiquée aux étudiants en début de scolarité. </w:t>
      </w:r>
    </w:p>
    <w:p w:rsidR="00F35B97" w:rsidRDefault="00F35B97" w:rsidP="00F227F4">
      <w:pPr>
        <w:pStyle w:val="Default"/>
        <w:jc w:val="both"/>
        <w:rPr>
          <w:rFonts w:asciiTheme="minorHAnsi" w:eastAsia="Verdana" w:hAnsiTheme="minorHAnsi" w:cs="Verdana"/>
          <w:b/>
          <w:bCs/>
          <w:sz w:val="22"/>
          <w:szCs w:val="22"/>
          <w:lang w:val="fr-FR"/>
        </w:rPr>
      </w:pPr>
    </w:p>
    <w:p w:rsidR="00F227F4" w:rsidRPr="00F227F4" w:rsidRDefault="00F227F4" w:rsidP="00F227F4">
      <w:pPr>
        <w:pStyle w:val="Default"/>
        <w:jc w:val="both"/>
        <w:rPr>
          <w:rFonts w:asciiTheme="minorHAnsi" w:eastAsia="Verdana" w:hAnsiTheme="minorHAnsi" w:cs="Verdana"/>
          <w:b/>
          <w:bCs/>
          <w:sz w:val="22"/>
          <w:szCs w:val="22"/>
          <w:lang w:val="fr-FR"/>
        </w:rPr>
      </w:pPr>
      <w:r w:rsidRPr="00F227F4">
        <w:rPr>
          <w:rFonts w:asciiTheme="minorHAnsi" w:eastAsia="Verdana" w:hAnsiTheme="minorHAnsi" w:cs="Verdana"/>
          <w:b/>
          <w:bCs/>
          <w:sz w:val="22"/>
          <w:szCs w:val="22"/>
          <w:lang w:val="fr-FR"/>
        </w:rPr>
        <w:t xml:space="preserve">2.1 Règles d’admission en programme ouvrant à l’attribution des deux diplômes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3"/>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Effectifs de la spécialité « GEB – Global E Business» : un minimum de 20 étudiants est requis pour que le dispositif décrit dans le présent avenant soit mis en œuvre. </w:t>
      </w:r>
    </w:p>
    <w:p w:rsidR="00F227F4" w:rsidRPr="00F227F4" w:rsidRDefault="00F227F4" w:rsidP="00F227F4">
      <w:pPr>
        <w:pStyle w:val="Default"/>
        <w:numPr>
          <w:ilvl w:val="0"/>
          <w:numId w:val="3"/>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Sélection sur dossier et entretiens menée en collaboration avec le directeur des études du CMAI et les enseignants de l’ESP. </w:t>
      </w:r>
    </w:p>
    <w:p w:rsidR="00F227F4" w:rsidRPr="00F227F4" w:rsidRDefault="00F227F4" w:rsidP="00F227F4">
      <w:pPr>
        <w:pStyle w:val="Default"/>
        <w:numPr>
          <w:ilvl w:val="0"/>
          <w:numId w:val="3"/>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Le flux normal d’étudiants entrant provient des effectifs du master 1 dakarois «Marketing et Management des Affaires Internationales ». Cependant d’autres étudiants, provenant d’autres masters 1 peuvent être admis. Il peut s’agir notamment d’étudiants africains ayant adressé leur candidature au master CMAI, à Lille</w:t>
      </w:r>
      <w:r w:rsidR="00F35B97">
        <w:rPr>
          <w:rFonts w:asciiTheme="minorHAnsi" w:eastAsia="Verdana" w:hAnsiTheme="minorHAnsi" w:cs="Verdana"/>
          <w:sz w:val="22"/>
          <w:szCs w:val="22"/>
          <w:lang w:val="fr-FR"/>
        </w:rPr>
        <w:t xml:space="preserve"> 1</w:t>
      </w:r>
      <w:r w:rsidRPr="00F227F4">
        <w:rPr>
          <w:rFonts w:asciiTheme="minorHAnsi" w:eastAsia="Verdana" w:hAnsiTheme="minorHAnsi" w:cs="Verdana"/>
          <w:sz w:val="22"/>
          <w:szCs w:val="22"/>
          <w:lang w:val="fr-FR"/>
        </w:rPr>
        <w:t xml:space="preserve">. </w:t>
      </w:r>
    </w:p>
    <w:p w:rsidR="00F227F4" w:rsidRPr="00F227F4" w:rsidRDefault="00F227F4" w:rsidP="00F227F4">
      <w:pPr>
        <w:pStyle w:val="Default"/>
        <w:numPr>
          <w:ilvl w:val="0"/>
          <w:numId w:val="3"/>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Composition du dossier inspiré du modèle lillois pour ce qui concerne les différentes rubriques et champs d’informations requises.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2.2 Inscriptions </w:t>
      </w: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 </w:t>
      </w:r>
    </w:p>
    <w:p w:rsidR="00F227F4" w:rsidRPr="00F227F4" w:rsidRDefault="00F227F4" w:rsidP="00F227F4">
      <w:pPr>
        <w:pStyle w:val="Default"/>
        <w:numPr>
          <w:ilvl w:val="0"/>
          <w:numId w:val="4"/>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Pour pouvoir obtenir le master français, les étudiants scolarisés à l’ESP doivent, outre l’inscription prise à l’UCAD, être </w:t>
      </w:r>
      <w:proofErr w:type="gramStart"/>
      <w:r w:rsidRPr="00F227F4">
        <w:rPr>
          <w:rFonts w:asciiTheme="minorHAnsi" w:eastAsia="Verdana" w:hAnsiTheme="minorHAnsi" w:cs="Verdana"/>
          <w:sz w:val="22"/>
          <w:szCs w:val="22"/>
          <w:lang w:val="fr-FR"/>
        </w:rPr>
        <w:t>inscrits</w:t>
      </w:r>
      <w:proofErr w:type="gramEnd"/>
      <w:r w:rsidRPr="00F227F4">
        <w:rPr>
          <w:rFonts w:asciiTheme="minorHAnsi" w:eastAsia="Verdana" w:hAnsiTheme="minorHAnsi" w:cs="Verdana"/>
          <w:sz w:val="22"/>
          <w:szCs w:val="22"/>
          <w:lang w:val="fr-FR"/>
        </w:rPr>
        <w:t xml:space="preserve"> à l’UL1 en y payant les droits de scolarité fixés chaque année universitaire par arrêté du ministère de l’Enseignement supérieur et de la Recherche.</w:t>
      </w:r>
    </w:p>
    <w:p w:rsidR="00F227F4" w:rsidRPr="00F227F4" w:rsidRDefault="00F227F4" w:rsidP="00F227F4">
      <w:pPr>
        <w:pStyle w:val="Default"/>
        <w:numPr>
          <w:ilvl w:val="0"/>
          <w:numId w:val="4"/>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Préalablement ils doivent se soumettre à une procédure de validation de leur master 1 ou équivalent en soumettant un dossier </w:t>
      </w:r>
      <w:r w:rsidRPr="00F35B97">
        <w:rPr>
          <w:rFonts w:asciiTheme="minorHAnsi" w:eastAsia="Verdana" w:hAnsiTheme="minorHAnsi" w:cs="Verdana"/>
          <w:i/>
          <w:sz w:val="22"/>
          <w:szCs w:val="22"/>
          <w:lang w:val="fr-FR"/>
        </w:rPr>
        <w:t>ad hoc</w:t>
      </w:r>
      <w:r w:rsidRPr="00F227F4">
        <w:rPr>
          <w:rFonts w:asciiTheme="minorHAnsi" w:eastAsia="Verdana" w:hAnsiTheme="minorHAnsi" w:cs="Verdana"/>
          <w:sz w:val="22"/>
          <w:szCs w:val="22"/>
          <w:lang w:val="fr-FR"/>
        </w:rPr>
        <w:t xml:space="preserve"> fourni par l’UL1. Les responsables de l’ESP surveilleront la procédure d’établissement de ces dossiers et le respect des délais accordés par l’administration de la scolarité de l’UL1. </w:t>
      </w:r>
    </w:p>
    <w:p w:rsidR="00F227F4" w:rsidRPr="00F227F4" w:rsidRDefault="00F227F4" w:rsidP="00F227F4">
      <w:pPr>
        <w:pStyle w:val="Default"/>
        <w:numPr>
          <w:ilvl w:val="0"/>
          <w:numId w:val="4"/>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responsables de l’ESP se feront également transmettre les dossiers d’inscription destinés à leurs étudiants. Ils veilleront à ce que ceux-ci soient correctement et intégralement remplis avant de les renvoyer groupés au secrétariat du master lillois. </w:t>
      </w:r>
    </w:p>
    <w:p w:rsidR="00F227F4" w:rsidRPr="00F227F4" w:rsidRDefault="00F227F4" w:rsidP="00F227F4">
      <w:pPr>
        <w:pStyle w:val="Default"/>
        <w:numPr>
          <w:ilvl w:val="0"/>
          <w:numId w:val="4"/>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 directeur du département de gestion de l’ESP acquittera en une seule fois et avant le 30 novembre de chaque année, auprès de l’agent comptable de l’Université Lille1, le montant global des droits d’inscription à payer sur production d’une facture établie par le service financier de la Faculté.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2.3 Déroulement de la scolarité </w:t>
      </w:r>
    </w:p>
    <w:p w:rsidR="00F227F4" w:rsidRPr="00F227F4" w:rsidRDefault="00F227F4" w:rsidP="00F227F4">
      <w:pPr>
        <w:pStyle w:val="Default"/>
        <w:spacing w:after="16"/>
        <w:jc w:val="both"/>
        <w:rPr>
          <w:rFonts w:asciiTheme="minorHAnsi" w:eastAsia="Verdana" w:hAnsiTheme="minorHAnsi" w:cs="Verdana"/>
          <w:sz w:val="22"/>
          <w:szCs w:val="22"/>
        </w:rPr>
      </w:pPr>
    </w:p>
    <w:p w:rsidR="00F227F4" w:rsidRPr="00F227F4" w:rsidRDefault="00F227F4" w:rsidP="00F227F4">
      <w:pPr>
        <w:pStyle w:val="Default"/>
        <w:numPr>
          <w:ilvl w:val="0"/>
          <w:numId w:val="5"/>
        </w:numPr>
        <w:spacing w:after="16"/>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La rentrée dakaroise a lieu fin octobre. </w:t>
      </w:r>
    </w:p>
    <w:p w:rsidR="00F227F4" w:rsidRPr="00F227F4" w:rsidRDefault="00F227F4" w:rsidP="00F227F4">
      <w:pPr>
        <w:pStyle w:val="Default"/>
        <w:numPr>
          <w:ilvl w:val="0"/>
          <w:numId w:val="5"/>
        </w:numPr>
        <w:spacing w:after="16"/>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Un planning global de l’ensemble des enseignements sera déterminé au plus tard en septembre. </w:t>
      </w:r>
    </w:p>
    <w:p w:rsidR="00F227F4" w:rsidRPr="00F227F4" w:rsidRDefault="00F227F4" w:rsidP="00F227F4">
      <w:pPr>
        <w:pStyle w:val="Default"/>
        <w:numPr>
          <w:ilvl w:val="0"/>
          <w:numId w:val="5"/>
        </w:numPr>
        <w:spacing w:after="16"/>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missions des enseignants lillois seront accomplies dans des périodes déterminées conjointement en tenant compte des contraintes des intéressés. Bien que comptés entièrement au titre du second semestre, les enseignements donnés par des professeurs </w:t>
      </w:r>
      <w:r w:rsidRPr="00F227F4">
        <w:rPr>
          <w:rFonts w:asciiTheme="minorHAnsi" w:eastAsia="Verdana" w:hAnsiTheme="minorHAnsi" w:cs="Verdana"/>
          <w:sz w:val="22"/>
          <w:szCs w:val="22"/>
          <w:lang w:val="fr-FR"/>
        </w:rPr>
        <w:lastRenderedPageBreak/>
        <w:t xml:space="preserve">lillois peuvent être, si nécessaire, effectués en cours de premier semestre. </w:t>
      </w:r>
    </w:p>
    <w:p w:rsidR="00F227F4" w:rsidRPr="00F227F4" w:rsidRDefault="00F227F4" w:rsidP="00F227F4">
      <w:pPr>
        <w:pStyle w:val="Default"/>
        <w:numPr>
          <w:ilvl w:val="0"/>
          <w:numId w:val="5"/>
        </w:numPr>
        <w:spacing w:after="16"/>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En cas d’empêchement réel le cours sera remplacé par un travail personnel d’une valeur en heure de travail (VHT) équivalente. C’est le directeur des études lillois qui décidera et organisera cette solution destinée à n’être qu’exceptionnelle et palliative. </w:t>
      </w:r>
    </w:p>
    <w:p w:rsidR="00F35B97" w:rsidRDefault="00F35B97" w:rsidP="00C8581F">
      <w:pPr>
        <w:rPr>
          <w:rFonts w:asciiTheme="minorHAnsi" w:eastAsia="Verdana" w:hAnsiTheme="minorHAnsi" w:cs="Verdana"/>
          <w:sz w:val="22"/>
          <w:szCs w:val="22"/>
          <w:lang w:val="fr-FR"/>
        </w:rPr>
      </w:pPr>
    </w:p>
    <w:p w:rsidR="00C8581F" w:rsidRDefault="00F227F4" w:rsidP="00F35B97">
      <w:p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Une présence significative d’enseignants lillois se manifeste au niveau de la correction des rapports de stage et des études ou mémoires pouvant s’y substituer. Dans ces derniers cas, leur présence à l’occasion des soutenances est nécessaire. Cependant, les soutenances peuvent également être réalisées au moyen du système de visioconférence ce qui permet de réduire les déplacements et ainsi les frais supportés par l’ESP.</w:t>
      </w:r>
    </w:p>
    <w:p w:rsidR="00C8581F" w:rsidRDefault="00C8581F" w:rsidP="00C8581F">
      <w:pPr>
        <w:rPr>
          <w:rFonts w:asciiTheme="minorHAnsi" w:eastAsia="Verdana" w:hAnsiTheme="minorHAnsi" w:cs="Verdana"/>
          <w:sz w:val="22"/>
          <w:szCs w:val="22"/>
          <w:lang w:val="fr-FR"/>
        </w:rPr>
      </w:pPr>
    </w:p>
    <w:p w:rsidR="00F227F4" w:rsidRPr="00F227F4" w:rsidRDefault="00F227F4" w:rsidP="00C8581F">
      <w:pPr>
        <w:rPr>
          <w:rFonts w:asciiTheme="minorHAnsi" w:hAnsiTheme="minorHAnsi"/>
          <w:sz w:val="22"/>
          <w:szCs w:val="22"/>
          <w:lang w:val="fr-FR"/>
        </w:rPr>
      </w:pPr>
      <w:r w:rsidRPr="00F227F4">
        <w:rPr>
          <w:rFonts w:asciiTheme="minorHAnsi" w:hAnsiTheme="minorHAnsi"/>
          <w:b/>
          <w:bCs/>
          <w:sz w:val="22"/>
          <w:szCs w:val="22"/>
          <w:lang w:val="fr-FR"/>
        </w:rPr>
        <w:t xml:space="preserve">2.4 Contenu spécifique de la scolarité </w:t>
      </w:r>
    </w:p>
    <w:p w:rsidR="00F227F4" w:rsidRPr="00F227F4" w:rsidRDefault="00F227F4" w:rsidP="00F227F4">
      <w:pPr>
        <w:pStyle w:val="Default"/>
        <w:spacing w:after="18"/>
        <w:rPr>
          <w:rFonts w:asciiTheme="minorHAnsi" w:hAnsiTheme="minorHAnsi"/>
          <w:sz w:val="22"/>
          <w:szCs w:val="22"/>
          <w:lang w:val="fr-FR"/>
        </w:rPr>
      </w:pPr>
    </w:p>
    <w:p w:rsidR="00F227F4" w:rsidRPr="00F227F4" w:rsidRDefault="00F227F4" w:rsidP="00F227F4">
      <w:pPr>
        <w:pStyle w:val="Default"/>
        <w:numPr>
          <w:ilvl w:val="0"/>
          <w:numId w:val="6"/>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Outre ses dimensions universitaires traditionnelles, la coopération conduisant au présent système de double attribution de diplôme est destinée à développer les rapports d’affaires entre le Sénégal et l’Afrique d’une part et la France et l’Europe d’autre part. </w:t>
      </w:r>
    </w:p>
    <w:p w:rsidR="00F227F4" w:rsidRPr="00F227F4" w:rsidRDefault="00F227F4" w:rsidP="00F227F4">
      <w:pPr>
        <w:pStyle w:val="Default"/>
        <w:numPr>
          <w:ilvl w:val="0"/>
          <w:numId w:val="6"/>
        </w:numPr>
        <w:spacing w:after="18"/>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Cette ambition doit conduire les étudiants à privilégier -dans leur choix de stage ou de projet ou de mémoire et plus généralement dans l’ensemble de leurs travaux- des thèmes impliquant la France et l’Europe au travers de leurs firmes, marchés ou plus généralement de leurs sociétés. La validation de cette condition d’obtention du GEB sera contrôlée et sanctionnée par le directeur des études du GEB. </w:t>
      </w:r>
    </w:p>
    <w:p w:rsidR="00F227F4" w:rsidRPr="00F227F4" w:rsidRDefault="00F227F4" w:rsidP="00F227F4">
      <w:pPr>
        <w:pStyle w:val="Default"/>
        <w:numPr>
          <w:ilvl w:val="0"/>
          <w:numId w:val="6"/>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Pareillement les enseignants seront soucieux d’illustrer leurs interventions de manière à toujours situer les rapports euro-africains au regard des problématiques abordées.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2.5 Déroulement des examens </w:t>
      </w:r>
    </w:p>
    <w:p w:rsidR="00F227F4" w:rsidRPr="00F227F4" w:rsidRDefault="00F227F4" w:rsidP="00F227F4">
      <w:pPr>
        <w:pStyle w:val="Default"/>
        <w:numPr>
          <w:ilvl w:val="0"/>
          <w:numId w:val="7"/>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Pour l’ensemble des enseignements la forme adoptée pour le contrôle des connaissances devra être approuvé par le directeur des études lillois. </w:t>
      </w:r>
    </w:p>
    <w:p w:rsidR="00F227F4" w:rsidRPr="00F227F4" w:rsidRDefault="00F227F4" w:rsidP="00F227F4">
      <w:pPr>
        <w:pStyle w:val="Default"/>
        <w:numPr>
          <w:ilvl w:val="0"/>
          <w:numId w:val="7"/>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 Les épreuves sont organisées sous la responsabilité du directeur du département gestion et du directeur des études du master de l’ESP. Un soin particulier sera apporté à la transmission des sujets et au maintien de leur confidentialité.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Correction effectuées par les titulaires de cours : </w:t>
      </w:r>
    </w:p>
    <w:p w:rsidR="00F227F4" w:rsidRPr="00F227F4" w:rsidRDefault="00F227F4" w:rsidP="00F227F4">
      <w:pPr>
        <w:pStyle w:val="Default"/>
        <w:numPr>
          <w:ilvl w:val="0"/>
          <w:numId w:val="8"/>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Pour les cours des Professeurs appartenant à l’ESP un échantillon de copies sera transmis à Lille pour avis des professeurs lillois correspondants </w:t>
      </w:r>
    </w:p>
    <w:p w:rsidR="00F227F4" w:rsidRPr="00F227F4" w:rsidRDefault="00F227F4" w:rsidP="00F227F4">
      <w:pPr>
        <w:pStyle w:val="Default"/>
        <w:numPr>
          <w:ilvl w:val="0"/>
          <w:numId w:val="8"/>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Lillois : copies photocopiées et gardées à Dakar, originaux transmis à Lille, au secrétariat du GEB, par courrier rapide.</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Il est à noter que l'usage des nouvelles technologies en formation à distance peut permettre d'organiser aussi des examens sur des plateformes pédagogiques existantes.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rPr>
          <w:rFonts w:asciiTheme="minorHAnsi" w:eastAsia="Verdana" w:hAnsiTheme="minorHAnsi" w:cs="Verdana"/>
          <w:sz w:val="22"/>
          <w:szCs w:val="22"/>
          <w:lang w:val="fr-FR"/>
        </w:rPr>
      </w:pPr>
      <w:r w:rsidRPr="00F227F4">
        <w:rPr>
          <w:rFonts w:asciiTheme="minorHAnsi" w:eastAsia="Verdana" w:hAnsiTheme="minorHAnsi" w:cs="Verdana"/>
          <w:b/>
          <w:bCs/>
          <w:sz w:val="22"/>
          <w:szCs w:val="22"/>
          <w:lang w:val="fr-FR"/>
        </w:rPr>
        <w:t xml:space="preserve">2.6 Notation et jurys </w:t>
      </w:r>
    </w:p>
    <w:p w:rsidR="00F227F4" w:rsidRPr="00F227F4" w:rsidRDefault="00F227F4" w:rsidP="00F227F4">
      <w:pPr>
        <w:pStyle w:val="Default"/>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ECTS représentent pour chaque unité d’enseignement la charge de travail étudiante qui cumule les heures d’enseignement et les heures de travail personnel.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L’ensemble de la notation est exprimé sur 20. Des échanges seront menés entre enseignants lillois et enseignants africains pour harmoniser l’évaluation des copies et des travaux.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ECTS constituent le système de pondération. Si les exigences en travail global d’un ou de plusieurs enseignements évoluaient, les ECTS seraient à redéfinir.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lastRenderedPageBreak/>
        <w:t xml:space="preserve">Les masters étant </w:t>
      </w:r>
      <w:proofErr w:type="spellStart"/>
      <w:r w:rsidRPr="00F227F4">
        <w:rPr>
          <w:rFonts w:asciiTheme="minorHAnsi" w:eastAsia="Verdana" w:hAnsiTheme="minorHAnsi" w:cs="Verdana"/>
          <w:sz w:val="22"/>
          <w:szCs w:val="22"/>
          <w:lang w:val="fr-FR"/>
        </w:rPr>
        <w:t>semestrialisés</w:t>
      </w:r>
      <w:proofErr w:type="spellEnd"/>
      <w:r w:rsidRPr="00F227F4">
        <w:rPr>
          <w:rFonts w:asciiTheme="minorHAnsi" w:eastAsia="Verdana" w:hAnsiTheme="minorHAnsi" w:cs="Verdana"/>
          <w:sz w:val="22"/>
          <w:szCs w:val="22"/>
          <w:lang w:val="fr-FR"/>
        </w:rPr>
        <w:t xml:space="preserve">, le contrôle des connaissances est organisé semestre par semestre.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étudiants ajournés ont droit à des épreuves de rattrapage organisées à la fin du semestre 4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 jury du semestre 3 (cours entièrement dakarois) est tenu à Dakar sous la direction du responsable sénégalais en tenant informé le responsable lillois.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 jury du semestre 4 sont tenus soit à Dakar, soit à Lille sous la présidence du directeur des études lillois. </w:t>
      </w:r>
    </w:p>
    <w:p w:rsidR="00F227F4" w:rsidRPr="00F227F4" w:rsidRDefault="00F227F4" w:rsidP="00F227F4">
      <w:pPr>
        <w:pStyle w:val="Default"/>
        <w:jc w:val="both"/>
        <w:rPr>
          <w:rFonts w:asciiTheme="minorHAnsi" w:eastAsia="Verdana" w:hAnsiTheme="minorHAnsi" w:cs="Verdana"/>
          <w:sz w:val="22"/>
          <w:szCs w:val="22"/>
          <w:lang w:val="fr-FR"/>
        </w:rPr>
      </w:pPr>
    </w:p>
    <w:p w:rsidR="00F227F4" w:rsidRPr="00F227F4" w:rsidRDefault="00F227F4" w:rsidP="00F227F4">
      <w:pPr>
        <w:pStyle w:val="Default"/>
        <w:numPr>
          <w:ilvl w:val="0"/>
          <w:numId w:val="9"/>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semestres ne sont pas compensables i.e. qu’il faut avoir la moyenne dans chacun d’entre eux pour obtenir son année. </w:t>
      </w:r>
    </w:p>
    <w:p w:rsidR="00F227F4" w:rsidRPr="00F227F4" w:rsidRDefault="00F227F4" w:rsidP="00F227F4">
      <w:pPr>
        <w:pStyle w:val="Default"/>
        <w:jc w:val="both"/>
        <w:rPr>
          <w:rFonts w:asciiTheme="minorHAnsi" w:eastAsia="Verdana" w:hAnsiTheme="minorHAnsi" w:cs="Verdana"/>
          <w:sz w:val="22"/>
          <w:szCs w:val="22"/>
          <w:lang w:val="fr-FR"/>
        </w:rPr>
      </w:pPr>
    </w:p>
    <w:p w:rsidR="00C8581F" w:rsidRDefault="00F227F4" w:rsidP="00AA2E08">
      <w:p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Pour obtenir le diplôme français, outre la moyenne générale, il faut avoir eu la moyenne sur l’ensemble des 15 ECTS correspondant aux cours donnés par des lillois.</w:t>
      </w:r>
    </w:p>
    <w:p w:rsidR="00C8581F" w:rsidRDefault="00C8581F" w:rsidP="00C8581F">
      <w:pPr>
        <w:rPr>
          <w:rFonts w:asciiTheme="minorHAnsi" w:eastAsia="Verdana" w:hAnsiTheme="minorHAnsi" w:cs="Verdana"/>
          <w:sz w:val="22"/>
          <w:szCs w:val="22"/>
          <w:lang w:val="fr-FR"/>
        </w:rPr>
      </w:pPr>
    </w:p>
    <w:p w:rsidR="00C8581F" w:rsidRPr="00F227F4" w:rsidRDefault="00C8581F" w:rsidP="00C8581F">
      <w:pPr>
        <w:rPr>
          <w:rFonts w:asciiTheme="minorHAnsi" w:hAnsiTheme="minorHAnsi"/>
          <w:sz w:val="22"/>
          <w:szCs w:val="22"/>
          <w:lang w:val="fr-FR"/>
        </w:rPr>
      </w:pPr>
      <w:r>
        <w:rPr>
          <w:rFonts w:asciiTheme="minorHAnsi" w:eastAsia="Verdana" w:hAnsiTheme="minorHAnsi" w:cs="Verdana"/>
          <w:sz w:val="22"/>
          <w:szCs w:val="22"/>
          <w:lang w:val="fr-FR"/>
        </w:rPr>
        <w:t>A</w:t>
      </w:r>
      <w:r w:rsidRPr="00F227F4">
        <w:rPr>
          <w:rFonts w:asciiTheme="minorHAnsi" w:hAnsiTheme="minorHAnsi"/>
          <w:b/>
          <w:bCs/>
          <w:sz w:val="22"/>
          <w:szCs w:val="22"/>
          <w:lang w:val="fr-FR"/>
        </w:rPr>
        <w:t xml:space="preserve">rticle 3 - Conditions financières </w:t>
      </w:r>
    </w:p>
    <w:p w:rsidR="00C8581F" w:rsidRPr="00F227F4" w:rsidRDefault="00C8581F" w:rsidP="00C8581F">
      <w:pPr>
        <w:pStyle w:val="Default"/>
        <w:rPr>
          <w:rFonts w:asciiTheme="minorHAnsi" w:hAnsiTheme="minorHAnsi"/>
          <w:sz w:val="22"/>
          <w:szCs w:val="22"/>
          <w:lang w:val="fr-FR"/>
        </w:rPr>
      </w:pPr>
    </w:p>
    <w:p w:rsidR="00C8581F" w:rsidRPr="00F227F4" w:rsidRDefault="00C8581F" w:rsidP="00AA2E08">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Un enseignement de qualité est permis à l’ESP par la possibilité dérogatoire à l’égard de la réglementation de l’UCAD de sélectionner ses étudiants ainsi que d’exiger d’eux des droits de scolarités spécifiques. </w:t>
      </w:r>
    </w:p>
    <w:p w:rsidR="00C8581F" w:rsidRPr="00F227F4" w:rsidRDefault="00C8581F" w:rsidP="00AA2E08">
      <w:pPr>
        <w:pStyle w:val="Default"/>
        <w:jc w:val="both"/>
        <w:rPr>
          <w:rFonts w:asciiTheme="minorHAnsi" w:eastAsia="Verdana" w:hAnsiTheme="minorHAnsi" w:cs="Verdana"/>
          <w:sz w:val="22"/>
          <w:szCs w:val="22"/>
          <w:lang w:val="fr-FR"/>
        </w:rPr>
      </w:pPr>
    </w:p>
    <w:p w:rsidR="00C8581F" w:rsidRPr="00F227F4" w:rsidRDefault="00C8581F" w:rsidP="00AA2E08">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S’agissant de ses interventions le GEB lillois prend en charge 60 heures de cours annuelles d’enseignement en rémunérant directement les intervenants lillois selon les mêmes conditions que s’ils intervenaient à Lille 1. </w:t>
      </w:r>
    </w:p>
    <w:p w:rsidR="00C8581F" w:rsidRPr="00F227F4" w:rsidRDefault="00C8581F" w:rsidP="00AA2E08">
      <w:pPr>
        <w:pStyle w:val="Default"/>
        <w:jc w:val="both"/>
        <w:rPr>
          <w:rFonts w:asciiTheme="minorHAnsi" w:eastAsia="Verdana" w:hAnsiTheme="minorHAnsi" w:cs="Verdana"/>
          <w:sz w:val="22"/>
          <w:szCs w:val="22"/>
          <w:lang w:val="fr-FR"/>
        </w:rPr>
      </w:pPr>
    </w:p>
    <w:p w:rsidR="00C8581F" w:rsidRPr="00F227F4" w:rsidRDefault="00C8581F" w:rsidP="00AA2E08">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L’ensemble des autres frais est à la charge de l’ESP : enseignements donnés par des professeurs locaux et tout ce qui s’y rattache, frais de mission des professeurs lillois (cours, soutenances, jurys). Les frais selon leur nature concernent : </w:t>
      </w:r>
    </w:p>
    <w:p w:rsidR="00C8581F" w:rsidRPr="00F227F4" w:rsidRDefault="00C8581F" w:rsidP="00C8581F">
      <w:pPr>
        <w:pStyle w:val="Default"/>
        <w:rPr>
          <w:rFonts w:asciiTheme="minorHAnsi" w:eastAsia="Verdana" w:hAnsiTheme="minorHAnsi" w:cs="Verdana"/>
          <w:sz w:val="22"/>
          <w:szCs w:val="22"/>
          <w:lang w:val="fr-FR"/>
        </w:rPr>
      </w:pPr>
    </w:p>
    <w:p w:rsidR="00C8581F" w:rsidRPr="00F227F4" w:rsidRDefault="00C8581F" w:rsidP="00AA2E08">
      <w:pPr>
        <w:pStyle w:val="Default"/>
        <w:numPr>
          <w:ilvl w:val="0"/>
          <w:numId w:val="10"/>
        </w:numPr>
        <w:spacing w:after="19"/>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 transport de Lille à Dakar (TGV+Avion, aller-retour) </w:t>
      </w:r>
    </w:p>
    <w:p w:rsidR="00C8581F" w:rsidRPr="00F227F4" w:rsidRDefault="00C8581F" w:rsidP="00AA2E08">
      <w:pPr>
        <w:pStyle w:val="Default"/>
        <w:numPr>
          <w:ilvl w:val="0"/>
          <w:numId w:val="10"/>
        </w:numPr>
        <w:spacing w:after="19"/>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frais de visa </w:t>
      </w:r>
    </w:p>
    <w:p w:rsidR="00C8581F" w:rsidRPr="00F227F4" w:rsidRDefault="00C8581F" w:rsidP="00AA2E08">
      <w:pPr>
        <w:pStyle w:val="Default"/>
        <w:numPr>
          <w:ilvl w:val="0"/>
          <w:numId w:val="10"/>
        </w:numPr>
        <w:spacing w:after="19"/>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L’Hébergement du missionnaire en pension complète </w:t>
      </w:r>
    </w:p>
    <w:p w:rsidR="00C8581F" w:rsidRPr="00F227F4" w:rsidRDefault="00C8581F" w:rsidP="00AA2E08">
      <w:pPr>
        <w:pStyle w:val="Default"/>
        <w:numPr>
          <w:ilvl w:val="0"/>
          <w:numId w:val="10"/>
        </w:numPr>
        <w:spacing w:after="19"/>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frais de déplacement du lieu d’hébergement à l’ESP </w:t>
      </w:r>
    </w:p>
    <w:p w:rsidR="00C8581F" w:rsidRPr="00F227F4" w:rsidRDefault="00C8581F" w:rsidP="00AA2E08">
      <w:pPr>
        <w:pStyle w:val="Default"/>
        <w:numPr>
          <w:ilvl w:val="0"/>
          <w:numId w:val="10"/>
        </w:numPr>
        <w:spacing w:after="19"/>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Frais divers (taxi…). </w:t>
      </w:r>
    </w:p>
    <w:p w:rsidR="00C8581F" w:rsidRPr="00F227F4" w:rsidRDefault="00C8581F" w:rsidP="00AA2E08">
      <w:pPr>
        <w:pStyle w:val="Default"/>
        <w:numPr>
          <w:ilvl w:val="0"/>
          <w:numId w:val="10"/>
        </w:numPr>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 soutenances seront facturées chaque année à l’ESP par la faculté pour un montant horaire identique à celui pratiqué à la Faculté. </w:t>
      </w:r>
    </w:p>
    <w:p w:rsidR="00C8581F" w:rsidRPr="00F227F4" w:rsidRDefault="00C8581F" w:rsidP="00AA2E08">
      <w:pPr>
        <w:pStyle w:val="Default"/>
        <w:jc w:val="both"/>
        <w:rPr>
          <w:rFonts w:asciiTheme="minorHAnsi" w:eastAsia="Verdana" w:hAnsiTheme="minorHAnsi" w:cs="Verdana"/>
          <w:sz w:val="22"/>
          <w:szCs w:val="22"/>
          <w:lang w:val="fr-FR"/>
        </w:rPr>
      </w:pPr>
    </w:p>
    <w:p w:rsidR="00C8581F" w:rsidRPr="00F227F4" w:rsidRDefault="00C8581F" w:rsidP="00F35B97">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L’ESP s’engage à pratiquer des droits d’inscription raisonnables de manière à équilibrer financièrement le dispositif pédagogique et de coopération. </w:t>
      </w:r>
    </w:p>
    <w:p w:rsidR="00C8581F" w:rsidRPr="00F227F4" w:rsidRDefault="00C8581F" w:rsidP="00AA2E08">
      <w:pPr>
        <w:pStyle w:val="Default"/>
        <w:jc w:val="both"/>
        <w:rPr>
          <w:rFonts w:asciiTheme="minorHAnsi" w:eastAsia="Verdana" w:hAnsiTheme="minorHAnsi" w:cs="Verdana"/>
          <w:sz w:val="22"/>
          <w:szCs w:val="22"/>
          <w:lang w:val="fr-FR"/>
        </w:rPr>
      </w:pPr>
    </w:p>
    <w:p w:rsidR="00C8581F" w:rsidRPr="00F227F4" w:rsidRDefault="00C8581F" w:rsidP="00F35B97">
      <w:pPr>
        <w:pStyle w:val="Default"/>
        <w:jc w:val="both"/>
        <w:rPr>
          <w:rFonts w:asciiTheme="minorHAnsi" w:eastAsia="Verdana" w:hAnsiTheme="minorHAnsi" w:cs="Verdana"/>
          <w:sz w:val="22"/>
          <w:szCs w:val="22"/>
          <w:lang w:val="fr-FR"/>
        </w:rPr>
      </w:pPr>
      <w:r w:rsidRPr="00F227F4">
        <w:rPr>
          <w:rFonts w:asciiTheme="minorHAnsi" w:eastAsia="Verdana" w:hAnsiTheme="minorHAnsi" w:cs="Verdana"/>
          <w:sz w:val="22"/>
          <w:szCs w:val="22"/>
          <w:lang w:val="fr-FR"/>
        </w:rPr>
        <w:t xml:space="preserve">La transparence financière la plus réelle s’applique au programme concerné et les responsables de l’ESP communiquent chaque année à leurs partenaires lillois le bilan exhaustif de l’ensemble des recettes et dépenses attachées à leur action commune. </w:t>
      </w:r>
    </w:p>
    <w:p w:rsidR="00C8581F" w:rsidRPr="00F227F4" w:rsidRDefault="00C8581F" w:rsidP="00AA2E08">
      <w:pPr>
        <w:pStyle w:val="Default"/>
        <w:jc w:val="both"/>
        <w:rPr>
          <w:rFonts w:asciiTheme="minorHAnsi" w:eastAsia="Verdana" w:hAnsiTheme="minorHAnsi" w:cs="Verdana"/>
          <w:sz w:val="22"/>
          <w:szCs w:val="22"/>
          <w:lang w:val="fr-FR"/>
        </w:rPr>
      </w:pPr>
    </w:p>
    <w:p w:rsidR="00C8581F" w:rsidRPr="00F35B97" w:rsidRDefault="00C8581F" w:rsidP="00F35B97">
      <w:pPr>
        <w:jc w:val="both"/>
        <w:rPr>
          <w:rFonts w:asciiTheme="minorHAnsi" w:eastAsia="Verdana" w:hAnsiTheme="minorHAnsi" w:cs="Verdana"/>
          <w:sz w:val="22"/>
          <w:szCs w:val="22"/>
          <w:lang w:val="fr-FR"/>
        </w:rPr>
      </w:pPr>
      <w:r w:rsidRPr="00F35B97">
        <w:rPr>
          <w:rFonts w:asciiTheme="minorHAnsi" w:eastAsia="Verdana" w:hAnsiTheme="minorHAnsi" w:cs="Verdana"/>
          <w:sz w:val="22"/>
          <w:szCs w:val="22"/>
          <w:lang w:val="fr-FR"/>
        </w:rPr>
        <w:t>La contribution du master lillois sous forme d’heures d’enseignement est reconductible année après année, pour la durée de la convention.</w:t>
      </w:r>
    </w:p>
    <w:p w:rsidR="00AA2E08" w:rsidRDefault="00AA2E08" w:rsidP="00AA2E08">
      <w:pPr>
        <w:pStyle w:val="Default"/>
        <w:jc w:val="both"/>
        <w:rPr>
          <w:rFonts w:asciiTheme="minorHAnsi" w:hAnsiTheme="minorHAnsi"/>
          <w:b/>
          <w:bCs/>
          <w:sz w:val="22"/>
          <w:szCs w:val="22"/>
          <w:lang w:val="fr-FR"/>
        </w:rPr>
      </w:pPr>
    </w:p>
    <w:p w:rsidR="00AA2E08" w:rsidRDefault="00AA2E08" w:rsidP="00AA2E08">
      <w:pPr>
        <w:pStyle w:val="Default"/>
        <w:jc w:val="both"/>
        <w:rPr>
          <w:rFonts w:asciiTheme="minorHAnsi" w:hAnsiTheme="minorHAnsi"/>
          <w:b/>
          <w:bCs/>
          <w:sz w:val="22"/>
          <w:szCs w:val="22"/>
          <w:lang w:val="fr-FR"/>
        </w:rPr>
      </w:pPr>
    </w:p>
    <w:p w:rsidR="0016015B" w:rsidRDefault="0016015B" w:rsidP="00AA2E08">
      <w:pPr>
        <w:pStyle w:val="Default"/>
        <w:jc w:val="both"/>
        <w:rPr>
          <w:rFonts w:asciiTheme="minorHAnsi" w:hAnsiTheme="minorHAnsi"/>
          <w:b/>
          <w:bCs/>
          <w:sz w:val="22"/>
          <w:szCs w:val="22"/>
          <w:lang w:val="fr-FR"/>
        </w:rPr>
      </w:pPr>
    </w:p>
    <w:p w:rsidR="00C8581F" w:rsidRPr="00F227F4" w:rsidRDefault="00C8581F" w:rsidP="00AA2E08">
      <w:pPr>
        <w:pStyle w:val="Default"/>
        <w:jc w:val="both"/>
        <w:rPr>
          <w:rFonts w:asciiTheme="minorHAnsi" w:hAnsiTheme="minorHAnsi"/>
          <w:b/>
          <w:bCs/>
          <w:sz w:val="22"/>
          <w:szCs w:val="22"/>
          <w:lang w:val="fr-FR"/>
        </w:rPr>
      </w:pPr>
      <w:r w:rsidRPr="00F227F4">
        <w:rPr>
          <w:rFonts w:asciiTheme="minorHAnsi" w:hAnsiTheme="minorHAnsi"/>
          <w:b/>
          <w:bCs/>
          <w:sz w:val="22"/>
          <w:szCs w:val="22"/>
          <w:lang w:val="fr-FR"/>
        </w:rPr>
        <w:t xml:space="preserve">Cet avenant ainsi que l’accord de coopération interuniversitaire prennent effet le 01/09/2015 et arriveront à échéance le 31/08/2018. </w:t>
      </w:r>
    </w:p>
    <w:p w:rsidR="00C8581F" w:rsidRPr="00F227F4" w:rsidRDefault="00C8581F" w:rsidP="00C8581F">
      <w:pPr>
        <w:rPr>
          <w:rFonts w:asciiTheme="minorHAnsi" w:hAnsiTheme="min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8581F" w:rsidRPr="00F227F4" w:rsidTr="00C8581F">
        <w:trPr>
          <w:trHeight w:val="420"/>
        </w:trPr>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Fait à Villeneuve d’Ascq (France)</w:t>
            </w:r>
          </w:p>
        </w:tc>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Fait à Dakar (Sénégal)</w:t>
            </w:r>
          </w:p>
        </w:tc>
      </w:tr>
      <w:tr w:rsidR="00C8581F" w:rsidRPr="00F227F4" w:rsidTr="00C8581F">
        <w:trPr>
          <w:trHeight w:val="594"/>
        </w:trPr>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Date :</w:t>
            </w:r>
            <w:r>
              <w:rPr>
                <w:rFonts w:asciiTheme="minorHAnsi" w:hAnsiTheme="minorHAnsi"/>
                <w:lang w:val="fr-FR"/>
              </w:rPr>
              <w:t xml:space="preserve"> ______________________ 2015</w:t>
            </w:r>
          </w:p>
        </w:tc>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Date :</w:t>
            </w:r>
            <w:r>
              <w:rPr>
                <w:rFonts w:asciiTheme="minorHAnsi" w:hAnsiTheme="minorHAnsi"/>
                <w:lang w:val="fr-FR"/>
              </w:rPr>
              <w:t xml:space="preserve"> ______________________ 2015</w:t>
            </w:r>
          </w:p>
        </w:tc>
      </w:tr>
      <w:tr w:rsidR="00C8581F" w:rsidRPr="0016015B" w:rsidTr="00C8581F">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Pour l’Université Lille 1</w:t>
            </w:r>
          </w:p>
          <w:p w:rsidR="00C8581F" w:rsidRPr="00F227F4" w:rsidRDefault="00C8581F" w:rsidP="002E7ED2">
            <w:pPr>
              <w:rPr>
                <w:rFonts w:asciiTheme="minorHAnsi" w:hAnsiTheme="minorHAnsi"/>
                <w:lang w:val="fr-FR"/>
              </w:rPr>
            </w:pPr>
            <w:r w:rsidRPr="00F227F4">
              <w:rPr>
                <w:rFonts w:asciiTheme="minorHAnsi" w:hAnsiTheme="minorHAnsi"/>
                <w:lang w:val="fr-FR"/>
              </w:rPr>
              <w:t>Sciences et Technologies</w:t>
            </w:r>
          </w:p>
        </w:tc>
        <w:tc>
          <w:tcPr>
            <w:tcW w:w="4606" w:type="dxa"/>
          </w:tcPr>
          <w:p w:rsidR="00C8581F" w:rsidRPr="00F227F4" w:rsidRDefault="00C8581F" w:rsidP="002E7ED2">
            <w:pPr>
              <w:rPr>
                <w:rFonts w:asciiTheme="minorHAnsi" w:hAnsiTheme="minorHAnsi"/>
                <w:lang w:val="fr-FR"/>
              </w:rPr>
            </w:pPr>
            <w:r w:rsidRPr="00F227F4">
              <w:rPr>
                <w:rFonts w:asciiTheme="minorHAnsi" w:hAnsiTheme="minorHAnsi"/>
                <w:lang w:val="fr-FR"/>
              </w:rPr>
              <w:t xml:space="preserve">Pour l’Université Cheikh </w:t>
            </w:r>
            <w:proofErr w:type="spellStart"/>
            <w:r w:rsidRPr="00F227F4">
              <w:rPr>
                <w:rFonts w:asciiTheme="minorHAnsi" w:hAnsiTheme="minorHAnsi"/>
                <w:lang w:val="fr-FR"/>
              </w:rPr>
              <w:t>Anta</w:t>
            </w:r>
            <w:proofErr w:type="spellEnd"/>
            <w:r w:rsidRPr="00F227F4">
              <w:rPr>
                <w:rFonts w:asciiTheme="minorHAnsi" w:hAnsiTheme="minorHAnsi"/>
                <w:lang w:val="fr-FR"/>
              </w:rPr>
              <w:t xml:space="preserve"> </w:t>
            </w:r>
            <w:proofErr w:type="spellStart"/>
            <w:r w:rsidRPr="00F227F4">
              <w:rPr>
                <w:rFonts w:asciiTheme="minorHAnsi" w:hAnsiTheme="minorHAnsi"/>
                <w:lang w:val="fr-FR"/>
              </w:rPr>
              <w:t>Diop</w:t>
            </w:r>
            <w:proofErr w:type="spellEnd"/>
            <w:r w:rsidRPr="00F227F4">
              <w:rPr>
                <w:rFonts w:asciiTheme="minorHAnsi" w:hAnsiTheme="minorHAnsi"/>
                <w:lang w:val="fr-FR"/>
              </w:rPr>
              <w:t xml:space="preserve"> de Dakar</w:t>
            </w:r>
          </w:p>
        </w:tc>
      </w:tr>
      <w:tr w:rsidR="00C8581F" w:rsidRPr="0016015B" w:rsidTr="00C8581F">
        <w:trPr>
          <w:trHeight w:val="2079"/>
        </w:trPr>
        <w:tc>
          <w:tcPr>
            <w:tcW w:w="4606" w:type="dxa"/>
            <w:vAlign w:val="bottom"/>
          </w:tcPr>
          <w:p w:rsidR="00C8581F" w:rsidRPr="00F35B97" w:rsidRDefault="00C8581F" w:rsidP="002E7ED2">
            <w:pPr>
              <w:jc w:val="left"/>
              <w:rPr>
                <w:rFonts w:asciiTheme="minorHAnsi" w:hAnsiTheme="minorHAnsi"/>
                <w:b/>
                <w:lang w:val="fr-FR"/>
              </w:rPr>
            </w:pPr>
            <w:r w:rsidRPr="00F35B97">
              <w:rPr>
                <w:rFonts w:asciiTheme="minorHAnsi" w:hAnsiTheme="minorHAnsi"/>
                <w:b/>
                <w:lang w:val="fr-FR"/>
              </w:rPr>
              <w:t>Prof. Philippe ROLLET</w:t>
            </w:r>
          </w:p>
          <w:p w:rsidR="00C8581F" w:rsidRPr="00F227F4" w:rsidRDefault="00C8581F" w:rsidP="002E7ED2">
            <w:pPr>
              <w:jc w:val="left"/>
              <w:rPr>
                <w:rFonts w:asciiTheme="minorHAnsi" w:hAnsiTheme="minorHAnsi"/>
                <w:lang w:val="fr-FR"/>
              </w:rPr>
            </w:pPr>
            <w:r w:rsidRPr="00F227F4">
              <w:rPr>
                <w:rFonts w:asciiTheme="minorHAnsi" w:hAnsiTheme="minorHAnsi"/>
                <w:lang w:val="fr-FR"/>
              </w:rPr>
              <w:t>Président</w:t>
            </w:r>
          </w:p>
        </w:tc>
        <w:tc>
          <w:tcPr>
            <w:tcW w:w="4606" w:type="dxa"/>
            <w:vAlign w:val="bottom"/>
          </w:tcPr>
          <w:p w:rsidR="00C8581F" w:rsidRPr="00F35B97" w:rsidRDefault="00C8581F" w:rsidP="002E7ED2">
            <w:pPr>
              <w:jc w:val="left"/>
              <w:rPr>
                <w:rFonts w:asciiTheme="minorHAnsi" w:hAnsiTheme="minorHAnsi"/>
                <w:b/>
                <w:lang w:val="fr-FR"/>
              </w:rPr>
            </w:pPr>
            <w:r w:rsidRPr="00F35B97">
              <w:rPr>
                <w:rFonts w:asciiTheme="minorHAnsi" w:hAnsiTheme="minorHAnsi"/>
                <w:b/>
                <w:lang w:val="fr-FR"/>
              </w:rPr>
              <w:t>Prof. Mamadou ADJ</w:t>
            </w:r>
          </w:p>
          <w:p w:rsidR="00C8581F" w:rsidRPr="00F227F4" w:rsidRDefault="00C8581F" w:rsidP="002E7ED2">
            <w:pPr>
              <w:jc w:val="left"/>
              <w:rPr>
                <w:rFonts w:asciiTheme="minorHAnsi" w:hAnsiTheme="minorHAnsi"/>
                <w:lang w:val="fr-FR"/>
              </w:rPr>
            </w:pPr>
            <w:r w:rsidRPr="00F227F4">
              <w:rPr>
                <w:rFonts w:asciiTheme="minorHAnsi" w:hAnsiTheme="minorHAnsi"/>
                <w:lang w:val="fr-FR"/>
              </w:rPr>
              <w:t>Directeur de l’ESP</w:t>
            </w:r>
          </w:p>
        </w:tc>
      </w:tr>
    </w:tbl>
    <w:p w:rsidR="00C8581F" w:rsidRPr="00F227F4" w:rsidRDefault="00C8581F" w:rsidP="00C8581F">
      <w:pPr>
        <w:rPr>
          <w:rFonts w:asciiTheme="minorHAnsi" w:hAnsiTheme="minorHAnsi"/>
          <w:sz w:val="22"/>
          <w:szCs w:val="22"/>
          <w:lang w:val="fr-FR"/>
        </w:rPr>
      </w:pPr>
    </w:p>
    <w:p w:rsidR="00C8581F" w:rsidRPr="00F227F4" w:rsidRDefault="00C8581F" w:rsidP="00F227F4">
      <w:pPr>
        <w:rPr>
          <w:rFonts w:asciiTheme="minorHAnsi" w:eastAsia="Verdana" w:hAnsiTheme="minorHAnsi" w:cs="Verdana"/>
          <w:sz w:val="22"/>
          <w:szCs w:val="22"/>
          <w:lang w:val="fr-FR"/>
        </w:rPr>
      </w:pPr>
    </w:p>
    <w:sectPr w:rsidR="00C8581F" w:rsidRPr="00F227F4" w:rsidSect="00F227F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A96" w:rsidRDefault="00EA5A96" w:rsidP="00F227F4">
      <w:r>
        <w:separator/>
      </w:r>
    </w:p>
  </w:endnote>
  <w:endnote w:type="continuationSeparator" w:id="0">
    <w:p w:rsidR="00EA5A96" w:rsidRDefault="00EA5A96" w:rsidP="00F22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A96" w:rsidRDefault="00EA5A96" w:rsidP="00F227F4">
      <w:r>
        <w:separator/>
      </w:r>
    </w:p>
  </w:footnote>
  <w:footnote w:type="continuationSeparator" w:id="0">
    <w:p w:rsidR="00EA5A96" w:rsidRDefault="00EA5A96" w:rsidP="00F22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565"/>
      <w:gridCol w:w="4723"/>
    </w:tblGrid>
    <w:tr w:rsidR="00EA5A96" w:rsidTr="002E7ED2">
      <w:tc>
        <w:tcPr>
          <w:tcW w:w="4889" w:type="dxa"/>
          <w:vAlign w:val="center"/>
        </w:tcPr>
        <w:p w:rsidR="00EA5A96" w:rsidRDefault="00EA5A96" w:rsidP="002E7ED2">
          <w:pPr>
            <w:pStyle w:val="En-tte"/>
          </w:pPr>
          <w:r>
            <w:rPr>
              <w:noProof/>
              <w:lang w:val="fr-FR" w:eastAsia="fr-FR"/>
            </w:rPr>
            <w:drawing>
              <wp:inline distT="0" distB="0" distL="0" distR="0">
                <wp:extent cx="993775" cy="9639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775" cy="963930"/>
                        </a:xfrm>
                        <a:prstGeom prst="rect">
                          <a:avLst/>
                        </a:prstGeom>
                        <a:noFill/>
                        <a:ln w="9525">
                          <a:noFill/>
                          <a:miter lim="800000"/>
                          <a:headEnd/>
                          <a:tailEnd/>
                        </a:ln>
                      </pic:spPr>
                    </pic:pic>
                  </a:graphicData>
                </a:graphic>
              </wp:inline>
            </w:drawing>
          </w:r>
        </w:p>
      </w:tc>
      <w:tc>
        <w:tcPr>
          <w:tcW w:w="4889" w:type="dxa"/>
          <w:vAlign w:val="center"/>
        </w:tcPr>
        <w:p w:rsidR="00EA5A96" w:rsidRDefault="00EA5A96" w:rsidP="002E7ED2">
          <w:pPr>
            <w:pStyle w:val="En-tte"/>
            <w:jc w:val="right"/>
          </w:pPr>
          <w:r>
            <w:rPr>
              <w:noProof/>
              <w:lang w:val="fr-FR" w:eastAsia="fr-FR"/>
            </w:rPr>
            <w:drawing>
              <wp:inline distT="0" distB="0" distL="0" distR="0">
                <wp:extent cx="1967865" cy="954405"/>
                <wp:effectExtent l="0" t="0" r="0" b="0"/>
                <wp:docPr id="2" name="Image 2" descr="UL1-WEB-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1-WEB-2014"/>
                        <pic:cNvPicPr>
                          <a:picLocks noChangeAspect="1" noChangeArrowheads="1"/>
                        </pic:cNvPicPr>
                      </pic:nvPicPr>
                      <pic:blipFill>
                        <a:blip r:embed="rId2"/>
                        <a:srcRect/>
                        <a:stretch>
                          <a:fillRect/>
                        </a:stretch>
                      </pic:blipFill>
                      <pic:spPr bwMode="auto">
                        <a:xfrm>
                          <a:off x="0" y="0"/>
                          <a:ext cx="1967865" cy="954405"/>
                        </a:xfrm>
                        <a:prstGeom prst="rect">
                          <a:avLst/>
                        </a:prstGeom>
                        <a:noFill/>
                        <a:ln w="9525">
                          <a:noFill/>
                          <a:miter lim="800000"/>
                          <a:headEnd/>
                          <a:tailEnd/>
                        </a:ln>
                      </pic:spPr>
                    </pic:pic>
                  </a:graphicData>
                </a:graphic>
              </wp:inline>
            </w:drawing>
          </w:r>
        </w:p>
      </w:tc>
    </w:tr>
  </w:tbl>
  <w:p w:rsidR="00EA5A96" w:rsidRDefault="00EA5A9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919"/>
    <w:multiLevelType w:val="hybridMultilevel"/>
    <w:tmpl w:val="A27ACB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DC494F"/>
    <w:multiLevelType w:val="hybridMultilevel"/>
    <w:tmpl w:val="42B2F51E"/>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9518A"/>
    <w:multiLevelType w:val="hybridMultilevel"/>
    <w:tmpl w:val="469E90D0"/>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D58D6"/>
    <w:multiLevelType w:val="hybridMultilevel"/>
    <w:tmpl w:val="A98279A4"/>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912E24"/>
    <w:multiLevelType w:val="hybridMultilevel"/>
    <w:tmpl w:val="441A21B2"/>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9960B3"/>
    <w:multiLevelType w:val="hybridMultilevel"/>
    <w:tmpl w:val="05AE33EC"/>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985C36"/>
    <w:multiLevelType w:val="hybridMultilevel"/>
    <w:tmpl w:val="D99CC506"/>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6802FE"/>
    <w:multiLevelType w:val="hybridMultilevel"/>
    <w:tmpl w:val="EF308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D0086B"/>
    <w:multiLevelType w:val="hybridMultilevel"/>
    <w:tmpl w:val="4198BD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CC00B8"/>
    <w:multiLevelType w:val="hybridMultilevel"/>
    <w:tmpl w:val="DC1EFED2"/>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E37A00"/>
    <w:multiLevelType w:val="hybridMultilevel"/>
    <w:tmpl w:val="108E5E7E"/>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E05285"/>
    <w:multiLevelType w:val="hybridMultilevel"/>
    <w:tmpl w:val="C9FC85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5C4706"/>
    <w:multiLevelType w:val="hybridMultilevel"/>
    <w:tmpl w:val="4B9AE748"/>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541339"/>
    <w:multiLevelType w:val="hybridMultilevel"/>
    <w:tmpl w:val="CF2C6B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B96F55"/>
    <w:multiLevelType w:val="hybridMultilevel"/>
    <w:tmpl w:val="99B66318"/>
    <w:lvl w:ilvl="0" w:tplc="CA66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9"/>
  </w:num>
  <w:num w:numId="6">
    <w:abstractNumId w:val="4"/>
  </w:num>
  <w:num w:numId="7">
    <w:abstractNumId w:val="1"/>
  </w:num>
  <w:num w:numId="8">
    <w:abstractNumId w:val="5"/>
  </w:num>
  <w:num w:numId="9">
    <w:abstractNumId w:val="2"/>
  </w:num>
  <w:num w:numId="10">
    <w:abstractNumId w:val="10"/>
  </w:num>
  <w:num w:numId="11">
    <w:abstractNumId w:val="7"/>
  </w:num>
  <w:num w:numId="12">
    <w:abstractNumId w:val="0"/>
  </w:num>
  <w:num w:numId="13">
    <w:abstractNumId w:val="1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27F4"/>
    <w:rsid w:val="0016015B"/>
    <w:rsid w:val="001B710F"/>
    <w:rsid w:val="00276968"/>
    <w:rsid w:val="002E7ED2"/>
    <w:rsid w:val="005521D4"/>
    <w:rsid w:val="00AA2E08"/>
    <w:rsid w:val="00C8581F"/>
    <w:rsid w:val="00EA5A96"/>
    <w:rsid w:val="00EF3A57"/>
    <w:rsid w:val="00F227F4"/>
    <w:rsid w:val="00F35B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13" w:after="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F4"/>
    <w:pPr>
      <w:widowControl w:val="0"/>
      <w:suppressAutoHyphens/>
      <w:spacing w:before="0" w:after="0"/>
      <w:jc w:val="left"/>
    </w:pPr>
    <w:rPr>
      <w:rFonts w:ascii="Arial" w:eastAsia="Arial Unicode MS" w:hAnsi="Arial" w:cs="Times New Roman"/>
      <w:kern w:val="1"/>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27F4"/>
    <w:pPr>
      <w:tabs>
        <w:tab w:val="center" w:pos="4536"/>
        <w:tab w:val="right" w:pos="9072"/>
      </w:tabs>
    </w:pPr>
  </w:style>
  <w:style w:type="character" w:customStyle="1" w:styleId="En-tteCar">
    <w:name w:val="En-tête Car"/>
    <w:basedOn w:val="Policepardfaut"/>
    <w:link w:val="En-tte"/>
    <w:uiPriority w:val="99"/>
    <w:semiHidden/>
    <w:rsid w:val="00F227F4"/>
  </w:style>
  <w:style w:type="paragraph" w:styleId="Pieddepage">
    <w:name w:val="footer"/>
    <w:basedOn w:val="Normal"/>
    <w:link w:val="PieddepageCar"/>
    <w:uiPriority w:val="99"/>
    <w:semiHidden/>
    <w:unhideWhenUsed/>
    <w:rsid w:val="00F227F4"/>
    <w:pPr>
      <w:tabs>
        <w:tab w:val="center" w:pos="4536"/>
        <w:tab w:val="right" w:pos="9072"/>
      </w:tabs>
    </w:pPr>
  </w:style>
  <w:style w:type="character" w:customStyle="1" w:styleId="PieddepageCar">
    <w:name w:val="Pied de page Car"/>
    <w:basedOn w:val="Policepardfaut"/>
    <w:link w:val="Pieddepage"/>
    <w:uiPriority w:val="99"/>
    <w:semiHidden/>
    <w:rsid w:val="00F227F4"/>
  </w:style>
  <w:style w:type="paragraph" w:styleId="Textedebulles">
    <w:name w:val="Balloon Text"/>
    <w:basedOn w:val="Normal"/>
    <w:link w:val="TextedebullesCar"/>
    <w:uiPriority w:val="99"/>
    <w:semiHidden/>
    <w:unhideWhenUsed/>
    <w:rsid w:val="00F227F4"/>
    <w:rPr>
      <w:rFonts w:ascii="Tahoma" w:hAnsi="Tahoma" w:cs="Tahoma"/>
      <w:sz w:val="16"/>
      <w:szCs w:val="16"/>
    </w:rPr>
  </w:style>
  <w:style w:type="character" w:customStyle="1" w:styleId="TextedebullesCar">
    <w:name w:val="Texte de bulles Car"/>
    <w:basedOn w:val="Policepardfaut"/>
    <w:link w:val="Textedebulles"/>
    <w:uiPriority w:val="99"/>
    <w:semiHidden/>
    <w:rsid w:val="00F227F4"/>
    <w:rPr>
      <w:rFonts w:ascii="Tahoma" w:hAnsi="Tahoma" w:cs="Tahoma"/>
      <w:sz w:val="16"/>
      <w:szCs w:val="16"/>
    </w:rPr>
  </w:style>
  <w:style w:type="paragraph" w:customStyle="1" w:styleId="Default">
    <w:name w:val="Default"/>
    <w:basedOn w:val="Normal"/>
    <w:rsid w:val="00F227F4"/>
    <w:pPr>
      <w:autoSpaceDE w:val="0"/>
    </w:pPr>
    <w:rPr>
      <w:rFonts w:ascii="Times New Roman" w:eastAsia="Times New Roman" w:hAnsi="Times New Roman"/>
      <w:color w:val="000000"/>
    </w:rPr>
  </w:style>
  <w:style w:type="table" w:styleId="Grilledutableau">
    <w:name w:val="Table Grid"/>
    <w:basedOn w:val="TableauNormal"/>
    <w:uiPriority w:val="59"/>
    <w:rsid w:val="00F227F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7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DDC2-5D3A-4008-A78D-FEDA7457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2083</Words>
  <Characters>11461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heckly</dc:creator>
  <cp:lastModifiedBy>heckly</cp:lastModifiedBy>
  <cp:revision>5</cp:revision>
  <dcterms:created xsi:type="dcterms:W3CDTF">2015-05-19T07:50:00Z</dcterms:created>
  <dcterms:modified xsi:type="dcterms:W3CDTF">2015-05-20T07:19:00Z</dcterms:modified>
</cp:coreProperties>
</file>